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0E89E8" w14:textId="1BA1F217" w:rsidR="00E010C7" w:rsidRDefault="001A31B8" w:rsidP="004C1429">
      <w:pPr>
        <w:tabs>
          <w:tab w:val="left" w:pos="3315"/>
        </w:tabs>
        <w:rPr>
          <w:szCs w:val="24"/>
        </w:rPr>
      </w:pPr>
      <w:r w:rsidRPr="0052076C">
        <w:rPr>
          <w:noProof/>
          <w:szCs w:val="24"/>
          <w:lang w:eastAsia="en-GB"/>
        </w:rPr>
        <mc:AlternateContent>
          <mc:Choice Requires="wps">
            <w:drawing>
              <wp:anchor distT="45720" distB="45720" distL="114300" distR="114300" simplePos="0" relativeHeight="251658240" behindDoc="0" locked="0" layoutInCell="1" allowOverlap="1" wp14:anchorId="1F215F92" wp14:editId="52B8C160">
                <wp:simplePos x="0" y="0"/>
                <wp:positionH relativeFrom="column">
                  <wp:posOffset>7620</wp:posOffset>
                </wp:positionH>
                <wp:positionV relativeFrom="paragraph">
                  <wp:posOffset>502920</wp:posOffset>
                </wp:positionV>
                <wp:extent cx="6635115" cy="26384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38425"/>
                        </a:xfrm>
                        <a:prstGeom prst="rect">
                          <a:avLst/>
                        </a:prstGeom>
                        <a:noFill/>
                        <a:ln w="9525">
                          <a:solidFill>
                            <a:srgbClr val="FFFFFF">
                              <a:alpha val="0"/>
                            </a:srgbClr>
                          </a:solidFill>
                          <a:miter lim="800000"/>
                          <a:headEnd/>
                          <a:tailEnd/>
                        </a:ln>
                      </wps:spPr>
                      <wps:txbx>
                        <w:txbxContent>
                          <w:p w14:paraId="15F2C812" w14:textId="79AFB9D2" w:rsidR="00BD7EA6" w:rsidRPr="004174A1" w:rsidRDefault="00BD7EA6" w:rsidP="00046669">
                            <w:pPr>
                              <w:rPr>
                                <w:color w:val="0070C0"/>
                                <w:sz w:val="96"/>
                                <w:szCs w:val="96"/>
                              </w:rPr>
                            </w:pPr>
                            <w:r w:rsidRPr="004174A1">
                              <w:rPr>
                                <w:color w:val="0070C0"/>
                                <w:sz w:val="96"/>
                                <w:szCs w:val="96"/>
                              </w:rPr>
                              <w:t xml:space="preserve">Information Security </w:t>
                            </w:r>
                            <w:r w:rsidR="001A31B8">
                              <w:rPr>
                                <w:color w:val="0070C0"/>
                                <w:sz w:val="96"/>
                                <w:szCs w:val="96"/>
                              </w:rPr>
                              <w:t>Asset Management</w:t>
                            </w:r>
                            <w:r>
                              <w:rPr>
                                <w:color w:val="0070C0"/>
                                <w:sz w:val="96"/>
                                <w:szCs w:val="96"/>
                              </w:rPr>
                              <w:t xml:space="preserve">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215F92" id="_x0000_t202" coordsize="21600,21600" o:spt="202" path="m,l,21600r21600,l21600,xe">
                <v:stroke joinstyle="miter"/>
                <v:path gradientshapeok="t" o:connecttype="rect"/>
              </v:shapetype>
              <v:shape id="Text Box 3" o:spid="_x0000_s1026" type="#_x0000_t202" style="position:absolute;left:0;text-align:left;margin-left:.6pt;margin-top:39.6pt;width:522.45pt;height:207.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" filled="f" strokecolor="white">
                <v:stroke opacity="0"/>
                <v:textbox style="mso-fit-shape-to-text:t">
                  <w:txbxContent>
                    <w:p w14:paraId="15F2C812" w14:textId="79AFB9D2" w:rsidR="00BD7EA6" w:rsidRPr="004174A1" w:rsidRDefault="00BD7EA6" w:rsidP="00046669">
                      <w:pPr>
                        <w:rPr>
                          <w:color w:val="0070C0"/>
                          <w:sz w:val="96"/>
                          <w:szCs w:val="96"/>
                        </w:rPr>
                      </w:pPr>
                      <w:r w:rsidRPr="004174A1">
                        <w:rPr>
                          <w:color w:val="0070C0"/>
                          <w:sz w:val="96"/>
                          <w:szCs w:val="96"/>
                        </w:rPr>
                        <w:t xml:space="preserve">Information Security </w:t>
                      </w:r>
                      <w:r w:rsidR="001A31B8">
                        <w:rPr>
                          <w:color w:val="0070C0"/>
                          <w:sz w:val="96"/>
                          <w:szCs w:val="96"/>
                        </w:rPr>
                        <w:t>Asset Management</w:t>
                      </w:r>
                      <w:r>
                        <w:rPr>
                          <w:color w:val="0070C0"/>
                          <w:sz w:val="96"/>
                          <w:szCs w:val="96"/>
                        </w:rPr>
                        <w:t xml:space="preserve"> Policy</w:t>
                      </w:r>
                    </w:p>
                  </w:txbxContent>
                </v:textbox>
                <w10:wrap type="square"/>
              </v:shape>
            </w:pict>
          </mc:Fallback>
        </mc:AlternateContent>
      </w:r>
    </w:p>
    <w:p w14:paraId="77479DF7" w14:textId="6F0D20B5" w:rsidR="00046669" w:rsidRPr="0052076C" w:rsidRDefault="004C1429" w:rsidP="004C1429">
      <w:pPr>
        <w:tabs>
          <w:tab w:val="left" w:pos="3315"/>
        </w:tabs>
        <w:rPr>
          <w:szCs w:val="24"/>
        </w:rPr>
      </w:pPr>
      <w:r w:rsidRPr="0052076C">
        <w:rPr>
          <w:szCs w:val="24"/>
        </w:rPr>
        <w:tab/>
      </w:r>
    </w:p>
    <w:p w14:paraId="1DF21D74" w14:textId="77777777" w:rsidR="00046669" w:rsidRPr="0052076C" w:rsidRDefault="00046669" w:rsidP="00046669">
      <w:pPr>
        <w:rPr>
          <w:szCs w:val="24"/>
        </w:rPr>
      </w:pPr>
    </w:p>
    <w:p w14:paraId="6C60A67B" w14:textId="77777777" w:rsidR="00046669" w:rsidRPr="0052076C" w:rsidRDefault="00046669" w:rsidP="00046669">
      <w:pPr>
        <w:rPr>
          <w:szCs w:val="24"/>
        </w:rPr>
      </w:pPr>
    </w:p>
    <w:p w14:paraId="52DFB77E" w14:textId="77777777" w:rsidR="00046669" w:rsidRPr="0052076C" w:rsidRDefault="00046669" w:rsidP="00046669">
      <w:pPr>
        <w:rPr>
          <w:szCs w:val="24"/>
        </w:rPr>
      </w:pPr>
    </w:p>
    <w:p w14:paraId="6B8F2B85" w14:textId="77777777" w:rsidR="00046669" w:rsidRPr="0052076C" w:rsidRDefault="00046669" w:rsidP="00046669">
      <w:pPr>
        <w:rPr>
          <w:szCs w:val="24"/>
        </w:rPr>
      </w:pPr>
    </w:p>
    <w:p w14:paraId="6E8589D8" w14:textId="77777777" w:rsidR="00046669" w:rsidRPr="0052076C" w:rsidRDefault="00046669" w:rsidP="00046669">
      <w:pPr>
        <w:rPr>
          <w:szCs w:val="24"/>
        </w:rPr>
      </w:pPr>
    </w:p>
    <w:p w14:paraId="14061F7A" w14:textId="77777777" w:rsidR="00046669" w:rsidRPr="0052076C" w:rsidRDefault="00046669" w:rsidP="00046669">
      <w:pPr>
        <w:rPr>
          <w:szCs w:val="24"/>
        </w:rPr>
      </w:pPr>
    </w:p>
    <w:p w14:paraId="49F25679" w14:textId="77777777" w:rsidR="00046669" w:rsidRPr="0052076C" w:rsidRDefault="00046669" w:rsidP="00046669">
      <w:pPr>
        <w:rPr>
          <w:szCs w:val="24"/>
        </w:rPr>
      </w:pPr>
    </w:p>
    <w:p w14:paraId="70EC40E9" w14:textId="77777777" w:rsidR="00046669" w:rsidRPr="0052076C" w:rsidRDefault="00046669" w:rsidP="00046669">
      <w:pPr>
        <w:rPr>
          <w:szCs w:val="24"/>
        </w:rPr>
      </w:pPr>
    </w:p>
    <w:p w14:paraId="32832C7F" w14:textId="77777777" w:rsidR="00046669" w:rsidRPr="0052076C" w:rsidRDefault="00046669" w:rsidP="00046669">
      <w:pPr>
        <w:rPr>
          <w:szCs w:val="24"/>
        </w:rPr>
      </w:pPr>
    </w:p>
    <w:p w14:paraId="6D4ED5BB" w14:textId="77777777" w:rsidR="00046669" w:rsidRPr="0052076C" w:rsidRDefault="00046669" w:rsidP="00046669">
      <w:pPr>
        <w:rPr>
          <w:szCs w:val="24"/>
        </w:rPr>
      </w:pPr>
    </w:p>
    <w:p w14:paraId="046A5FB9" w14:textId="77777777" w:rsidR="00046669" w:rsidRPr="0052076C" w:rsidRDefault="00046669" w:rsidP="00046669">
      <w:pPr>
        <w:rPr>
          <w:szCs w:val="24"/>
        </w:rPr>
      </w:pPr>
    </w:p>
    <w:p w14:paraId="7FE6E830" w14:textId="77777777" w:rsidR="00046669" w:rsidRPr="0052076C" w:rsidRDefault="00046669" w:rsidP="00046669">
      <w:pPr>
        <w:rPr>
          <w:szCs w:val="24"/>
        </w:rPr>
      </w:pPr>
    </w:p>
    <w:p w14:paraId="58666B2D" w14:textId="77777777" w:rsidR="00046669" w:rsidRPr="0052076C" w:rsidRDefault="00046669" w:rsidP="00046669">
      <w:pPr>
        <w:rPr>
          <w:szCs w:val="24"/>
        </w:rPr>
      </w:pPr>
    </w:p>
    <w:p w14:paraId="6C2A935B" w14:textId="77777777" w:rsidR="00046669" w:rsidRPr="0052076C" w:rsidRDefault="00046669" w:rsidP="00046669">
      <w:pPr>
        <w:rPr>
          <w:szCs w:val="24"/>
        </w:rPr>
      </w:pPr>
    </w:p>
    <w:p w14:paraId="38640D7C" w14:textId="77777777" w:rsidR="00046669" w:rsidRPr="0052076C" w:rsidRDefault="00046669" w:rsidP="00046669">
      <w:pPr>
        <w:rPr>
          <w:szCs w:val="24"/>
        </w:rPr>
      </w:pPr>
    </w:p>
    <w:p w14:paraId="71661899" w14:textId="77777777" w:rsidR="00046669" w:rsidRPr="0052076C" w:rsidRDefault="00046669" w:rsidP="00046669">
      <w:pPr>
        <w:rPr>
          <w:szCs w:val="24"/>
        </w:rPr>
      </w:pPr>
    </w:p>
    <w:p w14:paraId="74CA9B84" w14:textId="77777777" w:rsidR="00046669" w:rsidRPr="0052076C" w:rsidRDefault="00046669" w:rsidP="00046669">
      <w:pPr>
        <w:rPr>
          <w:szCs w:val="24"/>
        </w:rPr>
      </w:pPr>
    </w:p>
    <w:p w14:paraId="1BBD1390" w14:textId="77777777" w:rsidR="00046669" w:rsidRPr="0052076C" w:rsidRDefault="00046669" w:rsidP="00046669">
      <w:pPr>
        <w:tabs>
          <w:tab w:val="left" w:pos="3801"/>
        </w:tabs>
        <w:rPr>
          <w:szCs w:val="24"/>
        </w:rPr>
      </w:pPr>
      <w:r w:rsidRPr="0052076C">
        <w:rPr>
          <w:szCs w:val="24"/>
        </w:rPr>
        <w:tab/>
      </w:r>
    </w:p>
    <w:p w14:paraId="190B4867" w14:textId="43E6FC08" w:rsidR="00046669" w:rsidRPr="00274781" w:rsidRDefault="00AE58E2" w:rsidP="00046669">
      <w:pPr>
        <w:pStyle w:val="TOCHeading"/>
        <w:rPr>
          <w:szCs w:val="24"/>
        </w:rPr>
      </w:pPr>
      <w:r>
        <w:rPr>
          <w:szCs w:val="24"/>
        </w:rPr>
        <w:lastRenderedPageBreak/>
        <w:t>T</w:t>
      </w:r>
      <w:r w:rsidR="00046669" w:rsidRPr="00274781">
        <w:rPr>
          <w:szCs w:val="24"/>
        </w:rPr>
        <w:t>able of Contents</w:t>
      </w:r>
    </w:p>
    <w:p w14:paraId="18F45293" w14:textId="66BBAB68" w:rsidR="00EB0334" w:rsidRDefault="00046669">
      <w:pPr>
        <w:pStyle w:val="TOC1"/>
        <w:tabs>
          <w:tab w:val="left" w:pos="720"/>
          <w:tab w:val="right" w:leader="dot" w:pos="9016"/>
        </w:tabs>
        <w:rPr>
          <w:rFonts w:asciiTheme="minorHAnsi" w:eastAsiaTheme="minorEastAsia" w:hAnsiTheme="minorHAnsi" w:cstheme="minorBidi"/>
          <w:noProof/>
          <w:sz w:val="22"/>
          <w:lang w:eastAsia="en-GB"/>
        </w:rPr>
      </w:pPr>
      <w:r w:rsidRPr="0052076C">
        <w:rPr>
          <w:szCs w:val="24"/>
        </w:rPr>
        <w:fldChar w:fldCharType="begin"/>
      </w:r>
      <w:r w:rsidRPr="0052076C">
        <w:rPr>
          <w:szCs w:val="24"/>
        </w:rPr>
        <w:instrText xml:space="preserve"> TOC \o "1-5" \h \z \u </w:instrText>
      </w:r>
      <w:r w:rsidRPr="0052076C">
        <w:rPr>
          <w:szCs w:val="24"/>
        </w:rPr>
        <w:fldChar w:fldCharType="separate"/>
      </w:r>
      <w:hyperlink w:anchor="_Toc530305205" w:history="1">
        <w:r w:rsidR="00EB0334" w:rsidRPr="007F4AA8">
          <w:rPr>
            <w:rStyle w:val="Hyperlink"/>
            <w:noProof/>
          </w:rPr>
          <w:t>1.</w:t>
        </w:r>
        <w:r w:rsidR="00EB0334">
          <w:rPr>
            <w:rFonts w:asciiTheme="minorHAnsi" w:eastAsiaTheme="minorEastAsia" w:hAnsiTheme="minorHAnsi" w:cstheme="minorBidi"/>
            <w:noProof/>
            <w:sz w:val="22"/>
            <w:lang w:eastAsia="en-GB"/>
          </w:rPr>
          <w:tab/>
        </w:r>
        <w:r w:rsidR="00EB0334" w:rsidRPr="007F4AA8">
          <w:rPr>
            <w:rStyle w:val="Hyperlink"/>
            <w:noProof/>
          </w:rPr>
          <w:t>Introduction</w:t>
        </w:r>
        <w:r w:rsidR="00EB0334">
          <w:rPr>
            <w:noProof/>
            <w:webHidden/>
          </w:rPr>
          <w:tab/>
        </w:r>
        <w:r w:rsidR="00EB0334">
          <w:rPr>
            <w:noProof/>
            <w:webHidden/>
          </w:rPr>
          <w:fldChar w:fldCharType="begin"/>
        </w:r>
        <w:r w:rsidR="00EB0334">
          <w:rPr>
            <w:noProof/>
            <w:webHidden/>
          </w:rPr>
          <w:instrText xml:space="preserve"> PAGEREF _Toc530305205 \h </w:instrText>
        </w:r>
        <w:r w:rsidR="00EB0334">
          <w:rPr>
            <w:noProof/>
            <w:webHidden/>
          </w:rPr>
        </w:r>
        <w:r w:rsidR="00EB0334">
          <w:rPr>
            <w:noProof/>
            <w:webHidden/>
          </w:rPr>
          <w:fldChar w:fldCharType="separate"/>
        </w:r>
        <w:r w:rsidR="00EB0334">
          <w:rPr>
            <w:noProof/>
            <w:webHidden/>
          </w:rPr>
          <w:t>4</w:t>
        </w:r>
        <w:r w:rsidR="00EB0334">
          <w:rPr>
            <w:noProof/>
            <w:webHidden/>
          </w:rPr>
          <w:fldChar w:fldCharType="end"/>
        </w:r>
      </w:hyperlink>
    </w:p>
    <w:p w14:paraId="7010877F" w14:textId="54165716" w:rsidR="00EB0334" w:rsidRDefault="00651899">
      <w:pPr>
        <w:pStyle w:val="TOC1"/>
        <w:tabs>
          <w:tab w:val="left" w:pos="720"/>
          <w:tab w:val="right" w:leader="dot" w:pos="9016"/>
        </w:tabs>
        <w:rPr>
          <w:rFonts w:asciiTheme="minorHAnsi" w:eastAsiaTheme="minorEastAsia" w:hAnsiTheme="minorHAnsi" w:cstheme="minorBidi"/>
          <w:noProof/>
          <w:sz w:val="22"/>
          <w:lang w:eastAsia="en-GB"/>
        </w:rPr>
      </w:pPr>
      <w:hyperlink w:anchor="_Toc530305206" w:history="1">
        <w:r w:rsidR="00EB0334" w:rsidRPr="007F4AA8">
          <w:rPr>
            <w:rStyle w:val="Hyperlink"/>
            <w:noProof/>
          </w:rPr>
          <w:t>2.</w:t>
        </w:r>
        <w:r w:rsidR="00EB0334">
          <w:rPr>
            <w:rFonts w:asciiTheme="minorHAnsi" w:eastAsiaTheme="minorEastAsia" w:hAnsiTheme="minorHAnsi" w:cstheme="minorBidi"/>
            <w:noProof/>
            <w:sz w:val="22"/>
            <w:lang w:eastAsia="en-GB"/>
          </w:rPr>
          <w:tab/>
        </w:r>
        <w:r w:rsidR="00EB0334" w:rsidRPr="007F4AA8">
          <w:rPr>
            <w:rStyle w:val="Hyperlink"/>
            <w:noProof/>
          </w:rPr>
          <w:t>Purpose</w:t>
        </w:r>
        <w:r w:rsidR="00EB0334">
          <w:rPr>
            <w:noProof/>
            <w:webHidden/>
          </w:rPr>
          <w:tab/>
        </w:r>
        <w:r w:rsidR="00EB0334">
          <w:rPr>
            <w:noProof/>
            <w:webHidden/>
          </w:rPr>
          <w:fldChar w:fldCharType="begin"/>
        </w:r>
        <w:r w:rsidR="00EB0334">
          <w:rPr>
            <w:noProof/>
            <w:webHidden/>
          </w:rPr>
          <w:instrText xml:space="preserve"> PAGEREF _Toc530305206 \h </w:instrText>
        </w:r>
        <w:r w:rsidR="00EB0334">
          <w:rPr>
            <w:noProof/>
            <w:webHidden/>
          </w:rPr>
        </w:r>
        <w:r w:rsidR="00EB0334">
          <w:rPr>
            <w:noProof/>
            <w:webHidden/>
          </w:rPr>
          <w:fldChar w:fldCharType="separate"/>
        </w:r>
        <w:r w:rsidR="00EB0334">
          <w:rPr>
            <w:noProof/>
            <w:webHidden/>
          </w:rPr>
          <w:t>4</w:t>
        </w:r>
        <w:r w:rsidR="00EB0334">
          <w:rPr>
            <w:noProof/>
            <w:webHidden/>
          </w:rPr>
          <w:fldChar w:fldCharType="end"/>
        </w:r>
      </w:hyperlink>
    </w:p>
    <w:p w14:paraId="452B18E2" w14:textId="5D087973" w:rsidR="00EB0334" w:rsidRDefault="00651899">
      <w:pPr>
        <w:pStyle w:val="TOC1"/>
        <w:tabs>
          <w:tab w:val="left" w:pos="720"/>
          <w:tab w:val="right" w:leader="dot" w:pos="9016"/>
        </w:tabs>
        <w:rPr>
          <w:rFonts w:asciiTheme="minorHAnsi" w:eastAsiaTheme="minorEastAsia" w:hAnsiTheme="minorHAnsi" w:cstheme="minorBidi"/>
          <w:noProof/>
          <w:sz w:val="22"/>
          <w:lang w:eastAsia="en-GB"/>
        </w:rPr>
      </w:pPr>
      <w:hyperlink w:anchor="_Toc530305207" w:history="1">
        <w:r w:rsidR="00EB0334" w:rsidRPr="007F4AA8">
          <w:rPr>
            <w:rStyle w:val="Hyperlink"/>
            <w:noProof/>
          </w:rPr>
          <w:t>3.</w:t>
        </w:r>
        <w:r w:rsidR="00EB0334">
          <w:rPr>
            <w:rFonts w:asciiTheme="minorHAnsi" w:eastAsiaTheme="minorEastAsia" w:hAnsiTheme="minorHAnsi" w:cstheme="minorBidi"/>
            <w:noProof/>
            <w:sz w:val="22"/>
            <w:lang w:eastAsia="en-GB"/>
          </w:rPr>
          <w:tab/>
        </w:r>
        <w:r w:rsidR="00EB0334" w:rsidRPr="007F4AA8">
          <w:rPr>
            <w:rStyle w:val="Hyperlink"/>
            <w:noProof/>
          </w:rPr>
          <w:t>Audience and Scope</w:t>
        </w:r>
        <w:r w:rsidR="00EB0334">
          <w:rPr>
            <w:noProof/>
            <w:webHidden/>
          </w:rPr>
          <w:tab/>
        </w:r>
        <w:r w:rsidR="00EB0334">
          <w:rPr>
            <w:noProof/>
            <w:webHidden/>
          </w:rPr>
          <w:fldChar w:fldCharType="begin"/>
        </w:r>
        <w:r w:rsidR="00EB0334">
          <w:rPr>
            <w:noProof/>
            <w:webHidden/>
          </w:rPr>
          <w:instrText xml:space="preserve"> PAGEREF _Toc530305207 \h </w:instrText>
        </w:r>
        <w:r w:rsidR="00EB0334">
          <w:rPr>
            <w:noProof/>
            <w:webHidden/>
          </w:rPr>
        </w:r>
        <w:r w:rsidR="00EB0334">
          <w:rPr>
            <w:noProof/>
            <w:webHidden/>
          </w:rPr>
          <w:fldChar w:fldCharType="separate"/>
        </w:r>
        <w:r w:rsidR="00EB0334">
          <w:rPr>
            <w:noProof/>
            <w:webHidden/>
          </w:rPr>
          <w:t>4</w:t>
        </w:r>
        <w:r w:rsidR="00EB0334">
          <w:rPr>
            <w:noProof/>
            <w:webHidden/>
          </w:rPr>
          <w:fldChar w:fldCharType="end"/>
        </w:r>
      </w:hyperlink>
    </w:p>
    <w:p w14:paraId="216678C9" w14:textId="2AFBE6BC" w:rsidR="00EB0334" w:rsidRDefault="00651899">
      <w:pPr>
        <w:pStyle w:val="TOC1"/>
        <w:tabs>
          <w:tab w:val="left" w:pos="720"/>
          <w:tab w:val="right" w:leader="dot" w:pos="9016"/>
        </w:tabs>
        <w:rPr>
          <w:rFonts w:asciiTheme="minorHAnsi" w:eastAsiaTheme="minorEastAsia" w:hAnsiTheme="minorHAnsi" w:cstheme="minorBidi"/>
          <w:noProof/>
          <w:sz w:val="22"/>
          <w:lang w:eastAsia="en-GB"/>
        </w:rPr>
      </w:pPr>
      <w:hyperlink w:anchor="_Toc530305208" w:history="1">
        <w:r w:rsidR="00EB0334" w:rsidRPr="007F4AA8">
          <w:rPr>
            <w:rStyle w:val="Hyperlink"/>
            <w:noProof/>
          </w:rPr>
          <w:t>4.</w:t>
        </w:r>
        <w:r w:rsidR="00EB0334">
          <w:rPr>
            <w:rFonts w:asciiTheme="minorHAnsi" w:eastAsiaTheme="minorEastAsia" w:hAnsiTheme="minorHAnsi" w:cstheme="minorBidi"/>
            <w:noProof/>
            <w:sz w:val="22"/>
            <w:lang w:eastAsia="en-GB"/>
          </w:rPr>
          <w:tab/>
        </w:r>
        <w:r w:rsidR="00EB0334" w:rsidRPr="007F4AA8">
          <w:rPr>
            <w:rStyle w:val="Hyperlink"/>
            <w:noProof/>
          </w:rPr>
          <w:t>Review</w:t>
        </w:r>
        <w:r w:rsidR="00EB0334">
          <w:rPr>
            <w:noProof/>
            <w:webHidden/>
          </w:rPr>
          <w:tab/>
        </w:r>
        <w:r w:rsidR="00EB0334">
          <w:rPr>
            <w:noProof/>
            <w:webHidden/>
          </w:rPr>
          <w:fldChar w:fldCharType="begin"/>
        </w:r>
        <w:r w:rsidR="00EB0334">
          <w:rPr>
            <w:noProof/>
            <w:webHidden/>
          </w:rPr>
          <w:instrText xml:space="preserve"> PAGEREF _Toc530305208 \h </w:instrText>
        </w:r>
        <w:r w:rsidR="00EB0334">
          <w:rPr>
            <w:noProof/>
            <w:webHidden/>
          </w:rPr>
        </w:r>
        <w:r w:rsidR="00EB0334">
          <w:rPr>
            <w:noProof/>
            <w:webHidden/>
          </w:rPr>
          <w:fldChar w:fldCharType="separate"/>
        </w:r>
        <w:r w:rsidR="00EB0334">
          <w:rPr>
            <w:noProof/>
            <w:webHidden/>
          </w:rPr>
          <w:t>4</w:t>
        </w:r>
        <w:r w:rsidR="00EB0334">
          <w:rPr>
            <w:noProof/>
            <w:webHidden/>
          </w:rPr>
          <w:fldChar w:fldCharType="end"/>
        </w:r>
      </w:hyperlink>
    </w:p>
    <w:p w14:paraId="733472F6" w14:textId="19F4E15F" w:rsidR="00EB0334" w:rsidRDefault="00651899">
      <w:pPr>
        <w:pStyle w:val="TOC1"/>
        <w:tabs>
          <w:tab w:val="left" w:pos="720"/>
          <w:tab w:val="right" w:leader="dot" w:pos="9016"/>
        </w:tabs>
        <w:rPr>
          <w:rFonts w:asciiTheme="minorHAnsi" w:eastAsiaTheme="minorEastAsia" w:hAnsiTheme="minorHAnsi" w:cstheme="minorBidi"/>
          <w:noProof/>
          <w:sz w:val="22"/>
          <w:lang w:eastAsia="en-GB"/>
        </w:rPr>
      </w:pPr>
      <w:hyperlink w:anchor="_Toc530305209" w:history="1">
        <w:r w:rsidR="00EB0334" w:rsidRPr="007F4AA8">
          <w:rPr>
            <w:rStyle w:val="Hyperlink"/>
            <w:noProof/>
          </w:rPr>
          <w:t>5.</w:t>
        </w:r>
        <w:r w:rsidR="00EB0334">
          <w:rPr>
            <w:rFonts w:asciiTheme="minorHAnsi" w:eastAsiaTheme="minorEastAsia" w:hAnsiTheme="minorHAnsi" w:cstheme="minorBidi"/>
            <w:noProof/>
            <w:sz w:val="22"/>
            <w:lang w:eastAsia="en-GB"/>
          </w:rPr>
          <w:tab/>
        </w:r>
        <w:r w:rsidR="00EB0334" w:rsidRPr="007F4AA8">
          <w:rPr>
            <w:rStyle w:val="Hyperlink"/>
            <w:noProof/>
          </w:rPr>
          <w:t>Ownership – Responsibility For Assets</w:t>
        </w:r>
        <w:r w:rsidR="00EB0334">
          <w:rPr>
            <w:noProof/>
            <w:webHidden/>
          </w:rPr>
          <w:tab/>
        </w:r>
        <w:r w:rsidR="00EB0334">
          <w:rPr>
            <w:noProof/>
            <w:webHidden/>
          </w:rPr>
          <w:fldChar w:fldCharType="begin"/>
        </w:r>
        <w:r w:rsidR="00EB0334">
          <w:rPr>
            <w:noProof/>
            <w:webHidden/>
          </w:rPr>
          <w:instrText xml:space="preserve"> PAGEREF _Toc530305209 \h </w:instrText>
        </w:r>
        <w:r w:rsidR="00EB0334">
          <w:rPr>
            <w:noProof/>
            <w:webHidden/>
          </w:rPr>
        </w:r>
        <w:r w:rsidR="00EB0334">
          <w:rPr>
            <w:noProof/>
            <w:webHidden/>
          </w:rPr>
          <w:fldChar w:fldCharType="separate"/>
        </w:r>
        <w:r w:rsidR="00EB0334">
          <w:rPr>
            <w:noProof/>
            <w:webHidden/>
          </w:rPr>
          <w:t>5</w:t>
        </w:r>
        <w:r w:rsidR="00EB0334">
          <w:rPr>
            <w:noProof/>
            <w:webHidden/>
          </w:rPr>
          <w:fldChar w:fldCharType="end"/>
        </w:r>
      </w:hyperlink>
    </w:p>
    <w:p w14:paraId="3E2B2D32" w14:textId="0EC54C54" w:rsidR="00EB0334" w:rsidRDefault="00651899">
      <w:pPr>
        <w:pStyle w:val="TOC2"/>
        <w:rPr>
          <w:rFonts w:asciiTheme="minorHAnsi" w:eastAsiaTheme="minorEastAsia" w:hAnsiTheme="minorHAnsi" w:cstheme="minorBidi"/>
          <w:noProof/>
          <w:sz w:val="22"/>
          <w:lang w:eastAsia="en-GB"/>
        </w:rPr>
      </w:pPr>
      <w:hyperlink w:anchor="_Toc530305210" w:history="1">
        <w:r w:rsidR="00EB0334" w:rsidRPr="007F4AA8">
          <w:rPr>
            <w:rStyle w:val="Hyperlink"/>
            <w:noProof/>
          </w:rPr>
          <w:t>Inventory of assets</w:t>
        </w:r>
        <w:r w:rsidR="00EB0334">
          <w:rPr>
            <w:noProof/>
            <w:webHidden/>
          </w:rPr>
          <w:tab/>
        </w:r>
        <w:r w:rsidR="00EB0334">
          <w:rPr>
            <w:noProof/>
            <w:webHidden/>
          </w:rPr>
          <w:fldChar w:fldCharType="begin"/>
        </w:r>
        <w:r w:rsidR="00EB0334">
          <w:rPr>
            <w:noProof/>
            <w:webHidden/>
          </w:rPr>
          <w:instrText xml:space="preserve"> PAGEREF _Toc530305210 \h </w:instrText>
        </w:r>
        <w:r w:rsidR="00EB0334">
          <w:rPr>
            <w:noProof/>
            <w:webHidden/>
          </w:rPr>
        </w:r>
        <w:r w:rsidR="00EB0334">
          <w:rPr>
            <w:noProof/>
            <w:webHidden/>
          </w:rPr>
          <w:fldChar w:fldCharType="separate"/>
        </w:r>
        <w:r w:rsidR="00EB0334">
          <w:rPr>
            <w:noProof/>
            <w:webHidden/>
          </w:rPr>
          <w:t>5</w:t>
        </w:r>
        <w:r w:rsidR="00EB0334">
          <w:rPr>
            <w:noProof/>
            <w:webHidden/>
          </w:rPr>
          <w:fldChar w:fldCharType="end"/>
        </w:r>
      </w:hyperlink>
    </w:p>
    <w:p w14:paraId="1971AB50" w14:textId="23E6F0B5" w:rsidR="00EB0334" w:rsidRDefault="00651899">
      <w:pPr>
        <w:pStyle w:val="TOC2"/>
        <w:rPr>
          <w:rFonts w:asciiTheme="minorHAnsi" w:eastAsiaTheme="minorEastAsia" w:hAnsiTheme="minorHAnsi" w:cstheme="minorBidi"/>
          <w:noProof/>
          <w:sz w:val="22"/>
          <w:lang w:eastAsia="en-GB"/>
        </w:rPr>
      </w:pPr>
      <w:hyperlink w:anchor="_Toc530305211" w:history="1">
        <w:r w:rsidR="00EB0334" w:rsidRPr="007F4AA8">
          <w:rPr>
            <w:rStyle w:val="Hyperlink"/>
            <w:noProof/>
          </w:rPr>
          <w:t>Ownership of assets</w:t>
        </w:r>
        <w:r w:rsidR="00EB0334">
          <w:rPr>
            <w:noProof/>
            <w:webHidden/>
          </w:rPr>
          <w:tab/>
        </w:r>
        <w:r w:rsidR="00EB0334">
          <w:rPr>
            <w:noProof/>
            <w:webHidden/>
          </w:rPr>
          <w:fldChar w:fldCharType="begin"/>
        </w:r>
        <w:r w:rsidR="00EB0334">
          <w:rPr>
            <w:noProof/>
            <w:webHidden/>
          </w:rPr>
          <w:instrText xml:space="preserve"> PAGEREF _Toc530305211 \h </w:instrText>
        </w:r>
        <w:r w:rsidR="00EB0334">
          <w:rPr>
            <w:noProof/>
            <w:webHidden/>
          </w:rPr>
        </w:r>
        <w:r w:rsidR="00EB0334">
          <w:rPr>
            <w:noProof/>
            <w:webHidden/>
          </w:rPr>
          <w:fldChar w:fldCharType="separate"/>
        </w:r>
        <w:r w:rsidR="00EB0334">
          <w:rPr>
            <w:noProof/>
            <w:webHidden/>
          </w:rPr>
          <w:t>5</w:t>
        </w:r>
        <w:r w:rsidR="00EB0334">
          <w:rPr>
            <w:noProof/>
            <w:webHidden/>
          </w:rPr>
          <w:fldChar w:fldCharType="end"/>
        </w:r>
      </w:hyperlink>
    </w:p>
    <w:p w14:paraId="38C5CEDD" w14:textId="07411D3E" w:rsidR="00EB0334" w:rsidRDefault="00651899">
      <w:pPr>
        <w:pStyle w:val="TOC2"/>
        <w:rPr>
          <w:rFonts w:asciiTheme="minorHAnsi" w:eastAsiaTheme="minorEastAsia" w:hAnsiTheme="minorHAnsi" w:cstheme="minorBidi"/>
          <w:noProof/>
          <w:sz w:val="22"/>
          <w:lang w:eastAsia="en-GB"/>
        </w:rPr>
      </w:pPr>
      <w:hyperlink w:anchor="_Toc530305212" w:history="1">
        <w:r w:rsidR="00EB0334" w:rsidRPr="007F4AA8">
          <w:rPr>
            <w:rStyle w:val="Hyperlink"/>
            <w:noProof/>
          </w:rPr>
          <w:t>Acceptable use of assets</w:t>
        </w:r>
        <w:r w:rsidR="00EB0334">
          <w:rPr>
            <w:noProof/>
            <w:webHidden/>
          </w:rPr>
          <w:tab/>
        </w:r>
        <w:r w:rsidR="00EB0334">
          <w:rPr>
            <w:noProof/>
            <w:webHidden/>
          </w:rPr>
          <w:fldChar w:fldCharType="begin"/>
        </w:r>
        <w:r w:rsidR="00EB0334">
          <w:rPr>
            <w:noProof/>
            <w:webHidden/>
          </w:rPr>
          <w:instrText xml:space="preserve"> PAGEREF _Toc530305212 \h </w:instrText>
        </w:r>
        <w:r w:rsidR="00EB0334">
          <w:rPr>
            <w:noProof/>
            <w:webHidden/>
          </w:rPr>
        </w:r>
        <w:r w:rsidR="00EB0334">
          <w:rPr>
            <w:noProof/>
            <w:webHidden/>
          </w:rPr>
          <w:fldChar w:fldCharType="separate"/>
        </w:r>
        <w:r w:rsidR="00EB0334">
          <w:rPr>
            <w:noProof/>
            <w:webHidden/>
          </w:rPr>
          <w:t>6</w:t>
        </w:r>
        <w:r w:rsidR="00EB0334">
          <w:rPr>
            <w:noProof/>
            <w:webHidden/>
          </w:rPr>
          <w:fldChar w:fldCharType="end"/>
        </w:r>
      </w:hyperlink>
    </w:p>
    <w:p w14:paraId="179DD3F9" w14:textId="76DBEBA4" w:rsidR="00EB0334" w:rsidRDefault="00651899">
      <w:pPr>
        <w:pStyle w:val="TOC2"/>
        <w:rPr>
          <w:rFonts w:asciiTheme="minorHAnsi" w:eastAsiaTheme="minorEastAsia" w:hAnsiTheme="minorHAnsi" w:cstheme="minorBidi"/>
          <w:noProof/>
          <w:sz w:val="22"/>
          <w:lang w:eastAsia="en-GB"/>
        </w:rPr>
      </w:pPr>
      <w:hyperlink w:anchor="_Toc530305213" w:history="1">
        <w:r w:rsidR="00EB0334" w:rsidRPr="007F4AA8">
          <w:rPr>
            <w:rStyle w:val="Hyperlink"/>
            <w:noProof/>
          </w:rPr>
          <w:t>Return of assets</w:t>
        </w:r>
        <w:r w:rsidR="00EB0334">
          <w:rPr>
            <w:noProof/>
            <w:webHidden/>
          </w:rPr>
          <w:tab/>
        </w:r>
        <w:r w:rsidR="00EB0334">
          <w:rPr>
            <w:noProof/>
            <w:webHidden/>
          </w:rPr>
          <w:fldChar w:fldCharType="begin"/>
        </w:r>
        <w:r w:rsidR="00EB0334">
          <w:rPr>
            <w:noProof/>
            <w:webHidden/>
          </w:rPr>
          <w:instrText xml:space="preserve"> PAGEREF _Toc530305213 \h </w:instrText>
        </w:r>
        <w:r w:rsidR="00EB0334">
          <w:rPr>
            <w:noProof/>
            <w:webHidden/>
          </w:rPr>
        </w:r>
        <w:r w:rsidR="00EB0334">
          <w:rPr>
            <w:noProof/>
            <w:webHidden/>
          </w:rPr>
          <w:fldChar w:fldCharType="separate"/>
        </w:r>
        <w:r w:rsidR="00EB0334">
          <w:rPr>
            <w:noProof/>
            <w:webHidden/>
          </w:rPr>
          <w:t>6</w:t>
        </w:r>
        <w:r w:rsidR="00EB0334">
          <w:rPr>
            <w:noProof/>
            <w:webHidden/>
          </w:rPr>
          <w:fldChar w:fldCharType="end"/>
        </w:r>
      </w:hyperlink>
    </w:p>
    <w:p w14:paraId="0CD86AE0" w14:textId="56B28064" w:rsidR="00046669" w:rsidRPr="0052076C" w:rsidRDefault="00046669" w:rsidP="00046669">
      <w:pPr>
        <w:rPr>
          <w:b/>
          <w:bCs/>
          <w:noProof/>
          <w:szCs w:val="24"/>
        </w:rPr>
      </w:pPr>
      <w:r w:rsidRPr="0052076C">
        <w:rPr>
          <w:b/>
          <w:bCs/>
          <w:noProof/>
          <w:szCs w:val="24"/>
        </w:rPr>
        <w:fldChar w:fldCharType="end"/>
      </w:r>
      <w:r w:rsidRPr="0052076C">
        <w:rPr>
          <w:b/>
          <w:bCs/>
          <w:noProof/>
          <w:szCs w:val="24"/>
        </w:rPr>
        <w:t xml:space="preserve"> </w:t>
      </w:r>
    </w:p>
    <w:p w14:paraId="64787EE8" w14:textId="20C1D9C8" w:rsidR="004F677E" w:rsidRPr="0052076C" w:rsidRDefault="004F677E" w:rsidP="00046669">
      <w:pPr>
        <w:rPr>
          <w:b/>
          <w:bCs/>
          <w:noProof/>
          <w:szCs w:val="24"/>
        </w:rPr>
      </w:pPr>
    </w:p>
    <w:p w14:paraId="3A404B9F" w14:textId="77777777" w:rsidR="00963B78" w:rsidRDefault="00963B78" w:rsidP="00046669">
      <w:pPr>
        <w:rPr>
          <w:b/>
          <w:bCs/>
          <w:noProof/>
          <w:szCs w:val="24"/>
          <w:u w:val="single"/>
        </w:rPr>
        <w:sectPr w:rsidR="00963B78" w:rsidSect="00580EC5">
          <w:footerReference w:type="default" r:id="rId11"/>
          <w:pgSz w:w="11906" w:h="16838" w:code="9"/>
          <w:pgMar w:top="1440" w:right="1440" w:bottom="1440" w:left="1440" w:header="709" w:footer="603" w:gutter="0"/>
          <w:pgNumType w:start="1"/>
          <w:cols w:space="708"/>
          <w:docGrid w:linePitch="360"/>
        </w:sectPr>
      </w:pPr>
    </w:p>
    <w:p w14:paraId="4FA1E87B" w14:textId="77777777" w:rsidR="00046669" w:rsidRPr="0052076C" w:rsidRDefault="00046669" w:rsidP="00046669">
      <w:pPr>
        <w:rPr>
          <w:b/>
          <w:bCs/>
          <w:noProof/>
          <w:szCs w:val="24"/>
          <w:u w:val="single"/>
        </w:rPr>
      </w:pPr>
      <w:r w:rsidRPr="0052076C">
        <w:rPr>
          <w:b/>
          <w:bCs/>
          <w:noProof/>
          <w:szCs w:val="24"/>
          <w:u w:val="single"/>
        </w:rPr>
        <w:lastRenderedPageBreak/>
        <w:t>Version Control</w:t>
      </w:r>
    </w:p>
    <w:p w14:paraId="116088BC" w14:textId="0A25D893" w:rsidR="00046669" w:rsidRPr="0052076C" w:rsidRDefault="00046669" w:rsidP="00046669">
      <w:pPr>
        <w:rPr>
          <w:szCs w:val="24"/>
        </w:rPr>
      </w:pPr>
      <w:r w:rsidRPr="001D7CBE">
        <w:rPr>
          <w:b/>
        </w:rPr>
        <w:t>Document Reference:</w:t>
      </w:r>
      <w:r w:rsidRPr="000E7A3D">
        <w:t xml:space="preserve"> </w:t>
      </w:r>
      <w:r w:rsidR="00355822">
        <w:t>Il7</w:t>
      </w:r>
      <w:r w:rsidRPr="000E7A3D">
        <w:t xml:space="preserve"> </w:t>
      </w:r>
      <w:r w:rsidR="22E2ED0D" w:rsidRPr="000E7A3D">
        <w:t xml:space="preserve">Security </w:t>
      </w:r>
      <w:r w:rsidR="00740DA0">
        <w:t>Access Control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306"/>
        <w:gridCol w:w="1134"/>
        <w:gridCol w:w="1671"/>
        <w:gridCol w:w="1810"/>
      </w:tblGrid>
      <w:tr w:rsidR="00046669" w:rsidRPr="0052076C" w14:paraId="30DDF545" w14:textId="77777777" w:rsidTr="00046E71">
        <w:trPr>
          <w:trHeight w:val="259"/>
        </w:trPr>
        <w:tc>
          <w:tcPr>
            <w:tcW w:w="1095" w:type="dxa"/>
            <w:shd w:val="clear" w:color="auto" w:fill="auto"/>
          </w:tcPr>
          <w:p w14:paraId="3F6A43CD" w14:textId="77777777" w:rsidR="00046669" w:rsidRPr="0052076C" w:rsidRDefault="00046669" w:rsidP="00FA2440">
            <w:pPr>
              <w:spacing w:after="200"/>
              <w:jc w:val="center"/>
              <w:rPr>
                <w:rFonts w:eastAsia="Times New Roman"/>
                <w:b/>
                <w:bCs/>
                <w:color w:val="000000"/>
                <w:szCs w:val="24"/>
                <w:lang w:eastAsia="x-none"/>
              </w:rPr>
            </w:pPr>
            <w:r w:rsidRPr="0052076C">
              <w:rPr>
                <w:rFonts w:eastAsia="Times New Roman"/>
                <w:b/>
                <w:bCs/>
                <w:color w:val="000000"/>
                <w:szCs w:val="24"/>
                <w:lang w:eastAsia="x-none"/>
              </w:rPr>
              <w:t>Version</w:t>
            </w:r>
          </w:p>
        </w:tc>
        <w:tc>
          <w:tcPr>
            <w:tcW w:w="3306" w:type="dxa"/>
            <w:shd w:val="clear" w:color="auto" w:fill="auto"/>
          </w:tcPr>
          <w:p w14:paraId="6AB7EF74" w14:textId="77777777" w:rsidR="00046669" w:rsidRPr="0052076C" w:rsidRDefault="00046669" w:rsidP="00FA2440">
            <w:pPr>
              <w:spacing w:after="200"/>
              <w:rPr>
                <w:rFonts w:eastAsia="Times New Roman"/>
                <w:b/>
                <w:bCs/>
                <w:color w:val="000000"/>
                <w:szCs w:val="24"/>
                <w:lang w:eastAsia="x-none"/>
              </w:rPr>
            </w:pPr>
            <w:r w:rsidRPr="0052076C">
              <w:rPr>
                <w:rFonts w:eastAsia="Times New Roman"/>
                <w:b/>
                <w:bCs/>
                <w:color w:val="000000"/>
                <w:szCs w:val="24"/>
                <w:lang w:eastAsia="x-none"/>
              </w:rPr>
              <w:t>Description of change</w:t>
            </w:r>
          </w:p>
        </w:tc>
        <w:tc>
          <w:tcPr>
            <w:tcW w:w="1134" w:type="dxa"/>
            <w:shd w:val="clear" w:color="auto" w:fill="auto"/>
          </w:tcPr>
          <w:p w14:paraId="2D6A2922" w14:textId="77777777" w:rsidR="00046669" w:rsidRPr="0052076C" w:rsidRDefault="00046669" w:rsidP="00FA2440">
            <w:pPr>
              <w:spacing w:after="200"/>
              <w:jc w:val="center"/>
              <w:rPr>
                <w:rFonts w:eastAsia="Times New Roman"/>
                <w:b/>
                <w:bCs/>
                <w:color w:val="000000"/>
                <w:szCs w:val="24"/>
                <w:lang w:eastAsia="x-none"/>
              </w:rPr>
            </w:pPr>
            <w:r w:rsidRPr="0052076C">
              <w:rPr>
                <w:rFonts w:eastAsia="Times New Roman"/>
                <w:b/>
                <w:bCs/>
                <w:color w:val="000000"/>
                <w:szCs w:val="24"/>
                <w:lang w:eastAsia="x-none"/>
              </w:rPr>
              <w:t>Date</w:t>
            </w:r>
          </w:p>
        </w:tc>
        <w:tc>
          <w:tcPr>
            <w:tcW w:w="1671" w:type="dxa"/>
            <w:shd w:val="clear" w:color="auto" w:fill="auto"/>
          </w:tcPr>
          <w:p w14:paraId="5CB8B7B8" w14:textId="77777777" w:rsidR="00046669" w:rsidRPr="0052076C" w:rsidRDefault="00046669" w:rsidP="00FA2440">
            <w:pPr>
              <w:spacing w:after="200"/>
              <w:rPr>
                <w:rFonts w:eastAsia="Times New Roman"/>
                <w:b/>
                <w:bCs/>
                <w:color w:val="000000"/>
                <w:szCs w:val="24"/>
                <w:lang w:eastAsia="x-none"/>
              </w:rPr>
            </w:pPr>
            <w:r w:rsidRPr="0052076C">
              <w:rPr>
                <w:rFonts w:eastAsia="Times New Roman"/>
                <w:b/>
                <w:bCs/>
                <w:color w:val="000000"/>
                <w:szCs w:val="24"/>
                <w:lang w:eastAsia="x-none"/>
              </w:rPr>
              <w:t>Author</w:t>
            </w:r>
          </w:p>
        </w:tc>
        <w:tc>
          <w:tcPr>
            <w:tcW w:w="1810" w:type="dxa"/>
            <w:shd w:val="clear" w:color="auto" w:fill="auto"/>
          </w:tcPr>
          <w:p w14:paraId="356CFACA" w14:textId="77777777" w:rsidR="00046669" w:rsidRPr="0052076C" w:rsidRDefault="00046669" w:rsidP="00FA2440">
            <w:pPr>
              <w:spacing w:after="200"/>
              <w:rPr>
                <w:rFonts w:eastAsia="Times New Roman"/>
                <w:b/>
                <w:bCs/>
                <w:color w:val="000000"/>
                <w:szCs w:val="24"/>
                <w:lang w:eastAsia="x-none"/>
              </w:rPr>
            </w:pPr>
            <w:r w:rsidRPr="0052076C">
              <w:rPr>
                <w:rFonts w:eastAsia="Times New Roman"/>
                <w:b/>
                <w:bCs/>
                <w:color w:val="000000"/>
                <w:szCs w:val="24"/>
                <w:lang w:eastAsia="x-none"/>
              </w:rPr>
              <w:t>Approver</w:t>
            </w:r>
          </w:p>
        </w:tc>
      </w:tr>
      <w:tr w:rsidR="00046669" w:rsidRPr="0052076C" w14:paraId="7A7B6F26" w14:textId="77777777" w:rsidTr="00046E71">
        <w:tc>
          <w:tcPr>
            <w:tcW w:w="1095" w:type="dxa"/>
            <w:shd w:val="clear" w:color="auto" w:fill="auto"/>
          </w:tcPr>
          <w:p w14:paraId="4E172265" w14:textId="45A46B9C" w:rsidR="00046669" w:rsidRPr="008C734D" w:rsidRDefault="00F86D95" w:rsidP="001D7CBE">
            <w:pPr>
              <w:spacing w:after="200"/>
              <w:jc w:val="center"/>
              <w:rPr>
                <w:rFonts w:eastAsia="Times New Roman"/>
                <w:color w:val="000000"/>
                <w:lang w:eastAsia="x-none"/>
              </w:rPr>
            </w:pPr>
            <w:r w:rsidRPr="001D7CBE">
              <w:rPr>
                <w:rFonts w:eastAsia="Times New Roman"/>
                <w:color w:val="000000"/>
                <w:lang w:eastAsia="x-none"/>
              </w:rPr>
              <w:t>0.1</w:t>
            </w:r>
          </w:p>
        </w:tc>
        <w:tc>
          <w:tcPr>
            <w:tcW w:w="3306" w:type="dxa"/>
            <w:shd w:val="clear" w:color="auto" w:fill="auto"/>
          </w:tcPr>
          <w:p w14:paraId="688F5DB9" w14:textId="43187466" w:rsidR="00046669" w:rsidRPr="009067AE" w:rsidRDefault="00046669" w:rsidP="00F86D95">
            <w:pPr>
              <w:spacing w:after="200"/>
              <w:rPr>
                <w:rFonts w:asciiTheme="minorHAnsi" w:hAnsiTheme="minorHAnsi"/>
                <w:lang w:eastAsia="x-none"/>
              </w:rPr>
            </w:pPr>
          </w:p>
        </w:tc>
        <w:tc>
          <w:tcPr>
            <w:tcW w:w="1134" w:type="dxa"/>
            <w:shd w:val="clear" w:color="auto" w:fill="auto"/>
          </w:tcPr>
          <w:p w14:paraId="5F0B64A9" w14:textId="014F5712" w:rsidR="00046669" w:rsidRPr="0052076C" w:rsidRDefault="00046669" w:rsidP="00FA2440">
            <w:pPr>
              <w:spacing w:after="200"/>
              <w:jc w:val="center"/>
              <w:rPr>
                <w:rFonts w:eastAsia="Times New Roman"/>
                <w:bCs/>
                <w:color w:val="000000"/>
                <w:szCs w:val="24"/>
                <w:lang w:eastAsia="x-none"/>
              </w:rPr>
            </w:pPr>
          </w:p>
        </w:tc>
        <w:tc>
          <w:tcPr>
            <w:tcW w:w="1671" w:type="dxa"/>
            <w:shd w:val="clear" w:color="auto" w:fill="auto"/>
          </w:tcPr>
          <w:p w14:paraId="53219B28" w14:textId="5BCC1159" w:rsidR="00046669" w:rsidRPr="0052076C" w:rsidRDefault="00046669" w:rsidP="00FA2440">
            <w:pPr>
              <w:spacing w:after="200"/>
              <w:rPr>
                <w:rFonts w:eastAsia="Times New Roman"/>
                <w:bCs/>
                <w:color w:val="000000"/>
                <w:szCs w:val="24"/>
                <w:lang w:eastAsia="x-none"/>
              </w:rPr>
            </w:pPr>
          </w:p>
        </w:tc>
        <w:tc>
          <w:tcPr>
            <w:tcW w:w="1810" w:type="dxa"/>
            <w:shd w:val="clear" w:color="auto" w:fill="auto"/>
          </w:tcPr>
          <w:p w14:paraId="4B4A3FB9" w14:textId="3EC26BEF" w:rsidR="00046669" w:rsidRPr="0052076C" w:rsidRDefault="00046669" w:rsidP="00FA2440">
            <w:pPr>
              <w:spacing w:after="200"/>
              <w:rPr>
                <w:rFonts w:eastAsia="Times New Roman"/>
                <w:bCs/>
                <w:color w:val="000000"/>
                <w:szCs w:val="24"/>
                <w:lang w:eastAsia="x-none"/>
              </w:rPr>
            </w:pPr>
          </w:p>
        </w:tc>
      </w:tr>
      <w:tr w:rsidR="0075289E" w:rsidRPr="0052076C" w14:paraId="2B204026" w14:textId="77777777" w:rsidTr="00046E71">
        <w:tc>
          <w:tcPr>
            <w:tcW w:w="1095" w:type="dxa"/>
            <w:shd w:val="clear" w:color="auto" w:fill="auto"/>
          </w:tcPr>
          <w:p w14:paraId="6C6407ED" w14:textId="77777777" w:rsidR="0075289E" w:rsidRPr="0052076C" w:rsidRDefault="0075289E" w:rsidP="00FA2440">
            <w:pPr>
              <w:spacing w:after="200"/>
              <w:jc w:val="center"/>
              <w:rPr>
                <w:rFonts w:eastAsia="Times New Roman"/>
                <w:bCs/>
                <w:color w:val="000000"/>
                <w:szCs w:val="24"/>
                <w:lang w:eastAsia="x-none"/>
              </w:rPr>
            </w:pPr>
          </w:p>
        </w:tc>
        <w:tc>
          <w:tcPr>
            <w:tcW w:w="3306" w:type="dxa"/>
            <w:shd w:val="clear" w:color="auto" w:fill="auto"/>
          </w:tcPr>
          <w:p w14:paraId="54910A81" w14:textId="77777777" w:rsidR="0075289E" w:rsidRPr="0052076C" w:rsidRDefault="0075289E" w:rsidP="00FA2440">
            <w:pPr>
              <w:spacing w:after="200"/>
              <w:rPr>
                <w:rFonts w:eastAsia="Times New Roman"/>
                <w:bCs/>
                <w:color w:val="000000"/>
                <w:szCs w:val="24"/>
                <w:lang w:eastAsia="x-none"/>
              </w:rPr>
            </w:pPr>
          </w:p>
        </w:tc>
        <w:tc>
          <w:tcPr>
            <w:tcW w:w="1134" w:type="dxa"/>
            <w:shd w:val="clear" w:color="auto" w:fill="auto"/>
          </w:tcPr>
          <w:p w14:paraId="5B4CD6FF" w14:textId="77777777" w:rsidR="0075289E" w:rsidRPr="0052076C" w:rsidRDefault="0075289E" w:rsidP="00FA2440">
            <w:pPr>
              <w:spacing w:after="200"/>
              <w:jc w:val="center"/>
              <w:rPr>
                <w:rFonts w:eastAsia="Times New Roman"/>
                <w:bCs/>
                <w:color w:val="000000"/>
                <w:szCs w:val="24"/>
                <w:lang w:eastAsia="x-none"/>
              </w:rPr>
            </w:pPr>
          </w:p>
        </w:tc>
        <w:tc>
          <w:tcPr>
            <w:tcW w:w="1671" w:type="dxa"/>
            <w:shd w:val="clear" w:color="auto" w:fill="auto"/>
          </w:tcPr>
          <w:p w14:paraId="2DE0D033" w14:textId="77777777" w:rsidR="0075289E" w:rsidRPr="0052076C" w:rsidRDefault="0075289E" w:rsidP="00FA2440">
            <w:pPr>
              <w:spacing w:after="200"/>
              <w:rPr>
                <w:rFonts w:eastAsia="Times New Roman"/>
                <w:bCs/>
                <w:color w:val="000000"/>
                <w:szCs w:val="24"/>
                <w:lang w:eastAsia="x-none"/>
              </w:rPr>
            </w:pPr>
          </w:p>
        </w:tc>
        <w:tc>
          <w:tcPr>
            <w:tcW w:w="1810" w:type="dxa"/>
            <w:shd w:val="clear" w:color="auto" w:fill="auto"/>
          </w:tcPr>
          <w:p w14:paraId="24A00D05" w14:textId="77777777" w:rsidR="0075289E" w:rsidRPr="0052076C" w:rsidRDefault="0075289E" w:rsidP="00FA2440">
            <w:pPr>
              <w:spacing w:after="200"/>
              <w:rPr>
                <w:rFonts w:eastAsia="Times New Roman"/>
                <w:bCs/>
                <w:color w:val="000000"/>
                <w:szCs w:val="24"/>
                <w:lang w:eastAsia="x-none"/>
              </w:rPr>
            </w:pPr>
          </w:p>
        </w:tc>
      </w:tr>
      <w:tr w:rsidR="00C305D9" w:rsidRPr="0052076C" w14:paraId="35663480" w14:textId="77777777" w:rsidTr="00046E71">
        <w:tc>
          <w:tcPr>
            <w:tcW w:w="1095" w:type="dxa"/>
            <w:shd w:val="clear" w:color="auto" w:fill="auto"/>
          </w:tcPr>
          <w:p w14:paraId="0F49C8A6" w14:textId="77777777" w:rsidR="00C305D9" w:rsidRDefault="00C305D9" w:rsidP="00C305D9">
            <w:pPr>
              <w:spacing w:after="200"/>
              <w:jc w:val="center"/>
              <w:rPr>
                <w:rFonts w:eastAsia="Times New Roman"/>
                <w:bCs/>
                <w:color w:val="000000"/>
                <w:szCs w:val="24"/>
                <w:lang w:eastAsia="x-none"/>
              </w:rPr>
            </w:pPr>
          </w:p>
        </w:tc>
        <w:tc>
          <w:tcPr>
            <w:tcW w:w="3306" w:type="dxa"/>
            <w:shd w:val="clear" w:color="auto" w:fill="auto"/>
          </w:tcPr>
          <w:p w14:paraId="1CA34FCA" w14:textId="77777777" w:rsidR="00C305D9" w:rsidRDefault="00C305D9" w:rsidP="00C305D9">
            <w:pPr>
              <w:spacing w:after="200"/>
              <w:rPr>
                <w:rFonts w:eastAsia="Times New Roman"/>
                <w:bCs/>
                <w:color w:val="000000"/>
                <w:szCs w:val="24"/>
                <w:lang w:eastAsia="x-none"/>
              </w:rPr>
            </w:pPr>
          </w:p>
        </w:tc>
        <w:tc>
          <w:tcPr>
            <w:tcW w:w="1134" w:type="dxa"/>
            <w:shd w:val="clear" w:color="auto" w:fill="auto"/>
          </w:tcPr>
          <w:p w14:paraId="4038B6CC" w14:textId="77777777" w:rsidR="00C305D9" w:rsidRDefault="00C305D9" w:rsidP="00C305D9">
            <w:pPr>
              <w:spacing w:after="200"/>
              <w:jc w:val="center"/>
              <w:rPr>
                <w:rFonts w:eastAsia="Times New Roman"/>
                <w:bCs/>
                <w:color w:val="000000"/>
                <w:szCs w:val="24"/>
                <w:lang w:eastAsia="x-none"/>
              </w:rPr>
            </w:pPr>
          </w:p>
        </w:tc>
        <w:tc>
          <w:tcPr>
            <w:tcW w:w="1671" w:type="dxa"/>
            <w:shd w:val="clear" w:color="auto" w:fill="auto"/>
          </w:tcPr>
          <w:p w14:paraId="5AC995B6" w14:textId="77777777" w:rsidR="00C305D9" w:rsidRPr="0052076C" w:rsidRDefault="00C305D9" w:rsidP="00C305D9">
            <w:pPr>
              <w:spacing w:after="200"/>
              <w:rPr>
                <w:rFonts w:eastAsia="Times New Roman"/>
                <w:bCs/>
                <w:color w:val="000000"/>
                <w:szCs w:val="24"/>
                <w:lang w:eastAsia="x-none"/>
              </w:rPr>
            </w:pPr>
          </w:p>
        </w:tc>
        <w:tc>
          <w:tcPr>
            <w:tcW w:w="1810" w:type="dxa"/>
            <w:shd w:val="clear" w:color="auto" w:fill="auto"/>
          </w:tcPr>
          <w:p w14:paraId="02814CA6" w14:textId="77777777" w:rsidR="00C305D9" w:rsidRPr="0052076C" w:rsidRDefault="00C305D9" w:rsidP="00C305D9">
            <w:pPr>
              <w:spacing w:after="200"/>
              <w:rPr>
                <w:rFonts w:eastAsia="Times New Roman"/>
                <w:bCs/>
                <w:color w:val="000000"/>
                <w:szCs w:val="24"/>
                <w:lang w:eastAsia="x-none"/>
              </w:rPr>
            </w:pPr>
          </w:p>
        </w:tc>
      </w:tr>
    </w:tbl>
    <w:p w14:paraId="2CF8F52F" w14:textId="77777777" w:rsidR="00046669" w:rsidRPr="0052076C" w:rsidRDefault="00046669" w:rsidP="00046669">
      <w:pPr>
        <w:spacing w:after="200" w:line="276" w:lineRule="auto"/>
        <w:rPr>
          <w:rFonts w:eastAsia="Times New Roman"/>
          <w:b/>
          <w:bCs/>
          <w:color w:val="182968"/>
          <w:szCs w:val="24"/>
          <w:lang w:val="x-none" w:eastAsia="x-none"/>
        </w:rPr>
      </w:pPr>
      <w:r w:rsidRPr="0052076C">
        <w:rPr>
          <w:rFonts w:eastAsia="Times New Roman"/>
          <w:b/>
          <w:bCs/>
          <w:color w:val="182968"/>
          <w:szCs w:val="24"/>
          <w:lang w:val="x-none" w:eastAsia="x-none"/>
        </w:rPr>
        <w:br w:type="page"/>
      </w:r>
    </w:p>
    <w:p w14:paraId="65E2DF05" w14:textId="77777777" w:rsidR="004F677E" w:rsidRPr="0052076C" w:rsidRDefault="00046669" w:rsidP="0088089E">
      <w:pPr>
        <w:pStyle w:val="Heading1"/>
        <w:numPr>
          <w:ilvl w:val="0"/>
          <w:numId w:val="1"/>
        </w:numPr>
        <w:ind w:left="567" w:hanging="567"/>
      </w:pPr>
      <w:bookmarkStart w:id="1" w:name="_Toc513619873"/>
      <w:bookmarkStart w:id="2" w:name="_Toc530305205"/>
      <w:r w:rsidRPr="0052076C">
        <w:lastRenderedPageBreak/>
        <w:t>Introduction</w:t>
      </w:r>
      <w:bookmarkEnd w:id="1"/>
      <w:bookmarkEnd w:id="2"/>
    </w:p>
    <w:p w14:paraId="4B929F94" w14:textId="6D9ACAF4" w:rsidR="004174A1" w:rsidRPr="005F7DAB" w:rsidRDefault="004174A1" w:rsidP="005F7DAB">
      <w:pPr>
        <w:pStyle w:val="Absatz"/>
        <w:spacing w:after="160" w:line="240" w:lineRule="auto"/>
        <w:ind w:left="0"/>
        <w:rPr>
          <w:rFonts w:asciiTheme="minorHAnsi" w:hAnsiTheme="minorHAnsi"/>
          <w:sz w:val="24"/>
          <w:szCs w:val="24"/>
        </w:rPr>
      </w:pPr>
      <w:r w:rsidRPr="004174A1">
        <w:rPr>
          <w:rFonts w:asciiTheme="minorHAnsi" w:hAnsiTheme="minorHAnsi"/>
          <w:sz w:val="24"/>
          <w:szCs w:val="24"/>
        </w:rPr>
        <w:t xml:space="preserve">An </w:t>
      </w:r>
      <w:r w:rsidR="00E1162E" w:rsidRPr="004174A1">
        <w:rPr>
          <w:rFonts w:asciiTheme="minorHAnsi" w:hAnsiTheme="minorHAnsi"/>
          <w:sz w:val="24"/>
          <w:szCs w:val="24"/>
        </w:rPr>
        <w:t>ever</w:t>
      </w:r>
      <w:r w:rsidR="00E1162E">
        <w:rPr>
          <w:rFonts w:asciiTheme="minorHAnsi" w:hAnsiTheme="minorHAnsi"/>
          <w:sz w:val="24"/>
          <w:szCs w:val="24"/>
        </w:rPr>
        <w:t>-increasing</w:t>
      </w:r>
      <w:r w:rsidRPr="004174A1">
        <w:rPr>
          <w:rFonts w:asciiTheme="minorHAnsi" w:hAnsiTheme="minorHAnsi"/>
          <w:sz w:val="24"/>
          <w:szCs w:val="24"/>
        </w:rPr>
        <w:t xml:space="preserve"> threat </w:t>
      </w:r>
      <w:r w:rsidR="00F86D95">
        <w:rPr>
          <w:rFonts w:asciiTheme="minorHAnsi" w:hAnsiTheme="minorHAnsi"/>
          <w:sz w:val="24"/>
          <w:szCs w:val="24"/>
        </w:rPr>
        <w:t>environment</w:t>
      </w:r>
      <w:r w:rsidRPr="004174A1">
        <w:rPr>
          <w:rFonts w:asciiTheme="minorHAnsi" w:hAnsiTheme="minorHAnsi"/>
          <w:sz w:val="24"/>
          <w:szCs w:val="24"/>
        </w:rPr>
        <w:t xml:space="preserve"> requires any organization to implement appropriate measures to prote</w:t>
      </w:r>
      <w:r w:rsidR="001B413C">
        <w:rPr>
          <w:rFonts w:asciiTheme="minorHAnsi" w:hAnsiTheme="minorHAnsi"/>
          <w:sz w:val="24"/>
          <w:szCs w:val="24"/>
        </w:rPr>
        <w:t xml:space="preserve">ct it from information security </w:t>
      </w:r>
      <w:r w:rsidRPr="004174A1">
        <w:rPr>
          <w:rFonts w:asciiTheme="minorHAnsi" w:hAnsiTheme="minorHAnsi"/>
          <w:sz w:val="24"/>
          <w:szCs w:val="24"/>
        </w:rPr>
        <w:t xml:space="preserve">related threats and </w:t>
      </w:r>
      <w:r w:rsidR="001A31B8">
        <w:rPr>
          <w:rFonts w:asciiTheme="minorHAnsi" w:hAnsiTheme="minorHAnsi"/>
          <w:sz w:val="24"/>
          <w:szCs w:val="24"/>
        </w:rPr>
        <w:t>to manage i</w:t>
      </w:r>
      <w:r w:rsidR="00851562">
        <w:rPr>
          <w:rFonts w:asciiTheme="minorHAnsi" w:hAnsiTheme="minorHAnsi"/>
          <w:sz w:val="24"/>
          <w:szCs w:val="24"/>
        </w:rPr>
        <w:t>ts information assets.</w:t>
      </w:r>
      <w:r w:rsidR="006E2A5C">
        <w:rPr>
          <w:rFonts w:asciiTheme="minorHAnsi" w:hAnsiTheme="minorHAnsi"/>
          <w:sz w:val="24"/>
          <w:szCs w:val="24"/>
        </w:rPr>
        <w:t xml:space="preserve"> </w:t>
      </w:r>
      <w:r w:rsidR="00355822">
        <w:rPr>
          <w:rFonts w:asciiTheme="minorHAnsi" w:hAnsiTheme="minorHAnsi"/>
          <w:sz w:val="24"/>
          <w:szCs w:val="24"/>
        </w:rPr>
        <w:t>Il7</w:t>
      </w:r>
      <w:r w:rsidR="006E2A5C">
        <w:rPr>
          <w:rFonts w:asciiTheme="minorHAnsi" w:hAnsiTheme="minorHAnsi"/>
          <w:sz w:val="24"/>
          <w:szCs w:val="24"/>
        </w:rPr>
        <w:t xml:space="preserve"> has updated its policy status to align itself with ISO/IEC 27001:2013 in line with the approved Information Security Management System (ISMS), October 2018.</w:t>
      </w:r>
    </w:p>
    <w:p w14:paraId="5985C2CA" w14:textId="77777777" w:rsidR="00C03224" w:rsidRPr="0052076C" w:rsidRDefault="00C03224" w:rsidP="0088089E">
      <w:pPr>
        <w:pStyle w:val="Heading1"/>
        <w:numPr>
          <w:ilvl w:val="0"/>
          <w:numId w:val="1"/>
        </w:numPr>
        <w:ind w:left="567" w:hanging="567"/>
      </w:pPr>
      <w:bookmarkStart w:id="3" w:name="_Toc529512922"/>
      <w:bookmarkStart w:id="4" w:name="_Toc529515270"/>
      <w:bookmarkStart w:id="5" w:name="_Toc529516705"/>
      <w:bookmarkStart w:id="6" w:name="_Toc529516739"/>
      <w:bookmarkStart w:id="7" w:name="_Toc529517321"/>
      <w:bookmarkStart w:id="8" w:name="_Toc529512923"/>
      <w:bookmarkStart w:id="9" w:name="_Toc529515271"/>
      <w:bookmarkStart w:id="10" w:name="_Toc529516706"/>
      <w:bookmarkStart w:id="11" w:name="_Toc529516740"/>
      <w:bookmarkStart w:id="12" w:name="_Toc529517322"/>
      <w:bookmarkStart w:id="13" w:name="_Toc513619874"/>
      <w:bookmarkStart w:id="14" w:name="_Toc530305206"/>
      <w:bookmarkEnd w:id="3"/>
      <w:bookmarkEnd w:id="4"/>
      <w:bookmarkEnd w:id="5"/>
      <w:bookmarkEnd w:id="6"/>
      <w:bookmarkEnd w:id="7"/>
      <w:bookmarkEnd w:id="8"/>
      <w:bookmarkEnd w:id="9"/>
      <w:bookmarkEnd w:id="10"/>
      <w:bookmarkEnd w:id="11"/>
      <w:bookmarkEnd w:id="12"/>
      <w:r w:rsidRPr="0052076C">
        <w:t>Purpose</w:t>
      </w:r>
      <w:bookmarkEnd w:id="13"/>
      <w:bookmarkEnd w:id="14"/>
    </w:p>
    <w:p w14:paraId="2FDE1AC0" w14:textId="6CF7AF88" w:rsidR="004174A1" w:rsidRDefault="004174A1" w:rsidP="005C016B">
      <w:pPr>
        <w:rPr>
          <w:lang w:val="en-NZ"/>
        </w:rPr>
      </w:pPr>
      <w:r w:rsidRPr="004174A1">
        <w:rPr>
          <w:lang w:val="en-NZ"/>
        </w:rPr>
        <w:t xml:space="preserve">The purpose of the Information Security </w:t>
      </w:r>
      <w:r w:rsidR="001A31B8">
        <w:rPr>
          <w:lang w:val="en-NZ"/>
        </w:rPr>
        <w:t>Asset Management</w:t>
      </w:r>
      <w:r w:rsidR="00851562">
        <w:rPr>
          <w:lang w:val="en-NZ"/>
        </w:rPr>
        <w:t xml:space="preserve"> Policy</w:t>
      </w:r>
      <w:r w:rsidR="00CD7D52" w:rsidRPr="004174A1">
        <w:rPr>
          <w:lang w:val="en-NZ"/>
        </w:rPr>
        <w:t xml:space="preserve"> </w:t>
      </w:r>
      <w:r w:rsidRPr="004174A1">
        <w:rPr>
          <w:lang w:val="en-NZ"/>
        </w:rPr>
        <w:t>is to</w:t>
      </w:r>
      <w:r w:rsidR="001B413C">
        <w:rPr>
          <w:lang w:val="en-NZ"/>
        </w:rPr>
        <w:t xml:space="preserve"> ensure there are mechanisms </w:t>
      </w:r>
      <w:r w:rsidR="006F443C">
        <w:rPr>
          <w:lang w:val="en-NZ"/>
        </w:rPr>
        <w:t xml:space="preserve">within each Operating Company as well as </w:t>
      </w:r>
      <w:r w:rsidR="00355822">
        <w:rPr>
          <w:lang w:val="en-NZ"/>
        </w:rPr>
        <w:t>Il7</w:t>
      </w:r>
      <w:r w:rsidR="006F443C">
        <w:rPr>
          <w:lang w:val="en-NZ"/>
        </w:rPr>
        <w:t xml:space="preserve"> </w:t>
      </w:r>
      <w:r w:rsidR="001B413C">
        <w:rPr>
          <w:lang w:val="en-NZ"/>
        </w:rPr>
        <w:t>to</w:t>
      </w:r>
      <w:r w:rsidRPr="004174A1">
        <w:rPr>
          <w:lang w:val="en-NZ"/>
        </w:rPr>
        <w:t>:</w:t>
      </w:r>
    </w:p>
    <w:p w14:paraId="20184FD7" w14:textId="75AEC0DB" w:rsidR="006F443C" w:rsidRDefault="006F443C" w:rsidP="006F443C">
      <w:pPr>
        <w:pStyle w:val="ListParagraph"/>
        <w:numPr>
          <w:ilvl w:val="0"/>
          <w:numId w:val="34"/>
        </w:numPr>
        <w:rPr>
          <w:lang w:val="en-NZ"/>
        </w:rPr>
      </w:pPr>
      <w:r>
        <w:rPr>
          <w:lang w:val="en-NZ"/>
        </w:rPr>
        <w:t>Record all assets.</w:t>
      </w:r>
    </w:p>
    <w:p w14:paraId="4C2996EE" w14:textId="562FCAEC" w:rsidR="006F443C" w:rsidRDefault="006F443C" w:rsidP="006F443C">
      <w:pPr>
        <w:pStyle w:val="ListParagraph"/>
        <w:numPr>
          <w:ilvl w:val="0"/>
          <w:numId w:val="34"/>
        </w:numPr>
        <w:rPr>
          <w:lang w:val="en-NZ"/>
        </w:rPr>
      </w:pPr>
      <w:r>
        <w:rPr>
          <w:lang w:val="en-NZ"/>
        </w:rPr>
        <w:t>Assign ownership to assets.</w:t>
      </w:r>
    </w:p>
    <w:p w14:paraId="0288B0BB" w14:textId="6AA9A437" w:rsidR="006F443C" w:rsidRDefault="00EB0334" w:rsidP="006F443C">
      <w:pPr>
        <w:pStyle w:val="ListParagraph"/>
        <w:numPr>
          <w:ilvl w:val="0"/>
          <w:numId w:val="34"/>
        </w:numPr>
        <w:rPr>
          <w:lang w:val="en-NZ"/>
        </w:rPr>
      </w:pPr>
      <w:r>
        <w:rPr>
          <w:lang w:val="en-NZ"/>
        </w:rPr>
        <w:t>Ensure the acceptable use of information assets.</w:t>
      </w:r>
    </w:p>
    <w:p w14:paraId="090DD003" w14:textId="6B5AC0E5" w:rsidR="00EB0334" w:rsidRPr="006F443C" w:rsidRDefault="00EB0334" w:rsidP="006F443C">
      <w:pPr>
        <w:pStyle w:val="ListParagraph"/>
        <w:numPr>
          <w:ilvl w:val="0"/>
          <w:numId w:val="34"/>
        </w:numPr>
        <w:rPr>
          <w:lang w:val="en-NZ"/>
        </w:rPr>
      </w:pPr>
      <w:r>
        <w:rPr>
          <w:lang w:val="en-NZ"/>
        </w:rPr>
        <w:t>Ensure the return of information assets when business need requires.</w:t>
      </w:r>
    </w:p>
    <w:p w14:paraId="1D212768" w14:textId="6800CEB9" w:rsidR="00C03224" w:rsidRPr="0052076C" w:rsidRDefault="000A4771" w:rsidP="0088089E">
      <w:pPr>
        <w:pStyle w:val="Heading1"/>
        <w:numPr>
          <w:ilvl w:val="0"/>
          <w:numId w:val="1"/>
        </w:numPr>
        <w:ind w:left="567" w:hanging="567"/>
      </w:pPr>
      <w:bookmarkStart w:id="15" w:name="_Toc529512925"/>
      <w:bookmarkStart w:id="16" w:name="_Toc529515273"/>
      <w:bookmarkStart w:id="17" w:name="_Toc529516708"/>
      <w:bookmarkStart w:id="18" w:name="_Toc529516742"/>
      <w:bookmarkStart w:id="19" w:name="_Toc529517324"/>
      <w:bookmarkStart w:id="20" w:name="_Toc513619875"/>
      <w:bookmarkStart w:id="21" w:name="_Toc530305207"/>
      <w:bookmarkEnd w:id="15"/>
      <w:bookmarkEnd w:id="16"/>
      <w:bookmarkEnd w:id="17"/>
      <w:bookmarkEnd w:id="18"/>
      <w:bookmarkEnd w:id="19"/>
      <w:r>
        <w:rPr>
          <w:lang w:val="en-GB"/>
        </w:rPr>
        <w:t xml:space="preserve">Audience and </w:t>
      </w:r>
      <w:r w:rsidR="00C03224" w:rsidRPr="0052076C">
        <w:t>Scope</w:t>
      </w:r>
      <w:bookmarkEnd w:id="20"/>
      <w:bookmarkEnd w:id="21"/>
    </w:p>
    <w:p w14:paraId="18530AB0" w14:textId="30122257" w:rsidR="00046E71" w:rsidRPr="00123792" w:rsidRDefault="00046E71" w:rsidP="00046E71">
      <w:r w:rsidRPr="00123792">
        <w:t>This</w:t>
      </w:r>
      <w:r>
        <w:t xml:space="preserve"> policy presents the outcomes that must be delivered through standards and procedures implemented</w:t>
      </w:r>
      <w:r w:rsidRPr="00123792">
        <w:t xml:space="preserve"> by</w:t>
      </w:r>
      <w:r>
        <w:t xml:space="preserve"> all</w:t>
      </w:r>
      <w:r w:rsidRPr="00123792">
        <w:t xml:space="preserve"> </w:t>
      </w:r>
      <w:r w:rsidR="00355822">
        <w:rPr>
          <w:lang w:val="en-NZ"/>
        </w:rPr>
        <w:t>Il7</w:t>
      </w:r>
      <w:r w:rsidRPr="00046E71">
        <w:rPr>
          <w:lang w:val="en-NZ"/>
        </w:rPr>
        <w:t xml:space="preserve"> Operating Companies</w:t>
      </w:r>
      <w:r w:rsidRPr="00046E71">
        <w:rPr>
          <w:color w:val="000000" w:themeColor="text1"/>
          <w:lang w:val="en-NZ"/>
        </w:rPr>
        <w:t xml:space="preserve"> including Head Office </w:t>
      </w:r>
      <w:r>
        <w:t xml:space="preserve">for </w:t>
      </w:r>
      <w:r w:rsidR="001A31B8">
        <w:t>Information Asset Management</w:t>
      </w:r>
    </w:p>
    <w:p w14:paraId="1C4A5404" w14:textId="65788073" w:rsidR="004174A1" w:rsidRPr="00123792" w:rsidRDefault="004174A1" w:rsidP="00064B55">
      <w:r w:rsidRPr="00123792">
        <w:t xml:space="preserve">It is applicable and binding to all </w:t>
      </w:r>
      <w:r w:rsidR="00355822">
        <w:rPr>
          <w:lang w:val="en-NZ"/>
        </w:rPr>
        <w:t>Il7</w:t>
      </w:r>
      <w:r w:rsidRPr="00123792">
        <w:rPr>
          <w:lang w:val="en-NZ"/>
        </w:rPr>
        <w:t xml:space="preserve"> and Operating Companies</w:t>
      </w:r>
      <w:r w:rsidRPr="00123792">
        <w:t xml:space="preserve"> employees, including Executive Management, permanent staff, contract and temporary employees.</w:t>
      </w:r>
    </w:p>
    <w:p w14:paraId="784F96F5" w14:textId="11E476B0" w:rsidR="004174A1" w:rsidRPr="00B10F7A" w:rsidRDefault="00123792" w:rsidP="00064B55">
      <w:pPr>
        <w:rPr>
          <w:i/>
          <w:lang w:val="en-NZ"/>
        </w:rPr>
      </w:pPr>
      <w:r>
        <w:t xml:space="preserve">The audience for this </w:t>
      </w:r>
      <w:r w:rsidR="000C18DF">
        <w:t>policy</w:t>
      </w:r>
      <w:r w:rsidR="004174A1" w:rsidRPr="00123792">
        <w:t xml:space="preserve"> is </w:t>
      </w:r>
      <w:r w:rsidR="00355822">
        <w:rPr>
          <w:lang w:val="en-NZ"/>
        </w:rPr>
        <w:t>Il7</w:t>
      </w:r>
      <w:r w:rsidR="004174A1" w:rsidRPr="00123792">
        <w:rPr>
          <w:lang w:val="en-NZ"/>
        </w:rPr>
        <w:t xml:space="preserve"> and </w:t>
      </w:r>
      <w:r w:rsidR="000C18DF">
        <w:rPr>
          <w:lang w:val="en-NZ"/>
        </w:rPr>
        <w:t xml:space="preserve">the </w:t>
      </w:r>
      <w:r w:rsidR="004174A1" w:rsidRPr="00123792">
        <w:rPr>
          <w:lang w:val="en-NZ"/>
        </w:rPr>
        <w:t>Operating Companies</w:t>
      </w:r>
      <w:r w:rsidR="000C18DF">
        <w:rPr>
          <w:lang w:val="en-NZ"/>
        </w:rPr>
        <w:t>.</w:t>
      </w:r>
    </w:p>
    <w:p w14:paraId="593744ED" w14:textId="06A16DE8" w:rsidR="006A3C76" w:rsidRPr="001E4CF0" w:rsidRDefault="001E4CF0" w:rsidP="0088089E">
      <w:pPr>
        <w:pStyle w:val="Heading1"/>
        <w:numPr>
          <w:ilvl w:val="0"/>
          <w:numId w:val="1"/>
        </w:numPr>
        <w:ind w:left="567" w:hanging="567"/>
        <w:rPr>
          <w:lang w:val="en-GB"/>
        </w:rPr>
      </w:pPr>
      <w:bookmarkStart w:id="22" w:name="_Toc530305208"/>
      <w:r>
        <w:rPr>
          <w:lang w:val="en-GB"/>
        </w:rPr>
        <w:t>Review</w:t>
      </w:r>
      <w:bookmarkEnd w:id="22"/>
    </w:p>
    <w:p w14:paraId="658851D4" w14:textId="7CA43BA5" w:rsidR="001E4CF0" w:rsidRDefault="006E2A5C" w:rsidP="006A3C76">
      <w:r>
        <w:t>This</w:t>
      </w:r>
      <w:r w:rsidR="001A31B8">
        <w:t xml:space="preserve"> asset management</w:t>
      </w:r>
      <w:r w:rsidR="006A3C76" w:rsidRPr="006A3C76">
        <w:t xml:space="preserve"> policy shall be established, documented and reviewed based on business and information security requirements.</w:t>
      </w:r>
      <w:r w:rsidR="006A3C76">
        <w:t xml:space="preserve"> </w:t>
      </w:r>
      <w:r w:rsidR="001E4CF0">
        <w:t xml:space="preserve"> It </w:t>
      </w:r>
      <w:r w:rsidR="001A31B8">
        <w:t>is</w:t>
      </w:r>
      <w:r w:rsidR="001E4CF0">
        <w:t xml:space="preserve"> to be reviewed annually and updated accordingly.</w:t>
      </w:r>
    </w:p>
    <w:p w14:paraId="18ECDDBD" w14:textId="08E8344E" w:rsidR="003C1EFE" w:rsidRDefault="00C36346" w:rsidP="0090115F">
      <w:pPr>
        <w:pStyle w:val="Heading1"/>
        <w:numPr>
          <w:ilvl w:val="0"/>
          <w:numId w:val="1"/>
        </w:numPr>
        <w:ind w:left="567" w:hanging="567"/>
        <w:rPr>
          <w:lang w:val="en-GB"/>
        </w:rPr>
      </w:pPr>
      <w:r>
        <w:br w:type="page"/>
      </w:r>
      <w:bookmarkStart w:id="23" w:name="_Toc530305209"/>
      <w:r w:rsidR="0090115F">
        <w:rPr>
          <w:lang w:val="en-GB"/>
        </w:rPr>
        <w:lastRenderedPageBreak/>
        <w:t xml:space="preserve">Ownership – Responsibility </w:t>
      </w:r>
      <w:proofErr w:type="gramStart"/>
      <w:r w:rsidR="0090115F">
        <w:rPr>
          <w:lang w:val="en-GB"/>
        </w:rPr>
        <w:t>For</w:t>
      </w:r>
      <w:proofErr w:type="gramEnd"/>
      <w:r w:rsidR="0090115F">
        <w:rPr>
          <w:lang w:val="en-GB"/>
        </w:rPr>
        <w:t xml:space="preserve"> Assets</w:t>
      </w:r>
      <w:bookmarkEnd w:id="23"/>
    </w:p>
    <w:p w14:paraId="424C96DC" w14:textId="43E8C4E2" w:rsidR="0090115F" w:rsidRDefault="0090115F" w:rsidP="0090115F">
      <w:pPr>
        <w:pStyle w:val="ListParagraph"/>
        <w:jc w:val="right"/>
        <w:rPr>
          <w:i/>
          <w:lang w:eastAsia="x-none"/>
        </w:rPr>
      </w:pPr>
      <w:r>
        <w:rPr>
          <w:i/>
          <w:lang w:eastAsia="x-none"/>
        </w:rPr>
        <w:t>Reference ISO 27001 A.8</w:t>
      </w:r>
    </w:p>
    <w:p w14:paraId="602BE23C" w14:textId="77777777" w:rsidR="0090115F" w:rsidRDefault="0090115F" w:rsidP="0090115F">
      <w:pPr>
        <w:pStyle w:val="Heading2"/>
      </w:pPr>
      <w:bookmarkStart w:id="24" w:name="_Toc530305210"/>
      <w:r>
        <w:t>Inventory of assets</w:t>
      </w:r>
      <w:bookmarkEnd w:id="24"/>
    </w:p>
    <w:p w14:paraId="53D5FB3A" w14:textId="76C6900A" w:rsidR="0090115F" w:rsidRDefault="0090115F" w:rsidP="0090115F">
      <w:r>
        <w:t>Assets associated with information and information processing facilities shall be identified and an inventory of these assets shall be drawn up and maintained.</w:t>
      </w:r>
    </w:p>
    <w:p w14:paraId="5E06D325" w14:textId="5EE5D7E5" w:rsidR="0090115F" w:rsidRDefault="0090115F" w:rsidP="0090115F">
      <w:pPr>
        <w:pStyle w:val="ListParagraph"/>
        <w:jc w:val="right"/>
        <w:rPr>
          <w:i/>
          <w:lang w:eastAsia="x-none"/>
        </w:rPr>
      </w:pPr>
      <w:r>
        <w:rPr>
          <w:i/>
          <w:lang w:eastAsia="x-none"/>
        </w:rPr>
        <w:t>Reference ISO 27001 A.8.1.1</w:t>
      </w:r>
    </w:p>
    <w:p w14:paraId="1C66E37D" w14:textId="3AAEB005" w:rsidR="008F7D9B" w:rsidRDefault="008F7D9B" w:rsidP="008F7D9B">
      <w:r>
        <w:t>The organisation should identify assets relevant in the lifecycle of information and document their importance. The lifecycle of information should include creation, processing, storage, transmission, deletion and destruction. Documentation should be maintained in dedicated or existing inventories as appropriate.</w:t>
      </w:r>
    </w:p>
    <w:p w14:paraId="3231F732" w14:textId="77777777" w:rsidR="008F7D9B" w:rsidRDefault="008F7D9B" w:rsidP="008F7D9B">
      <w:r>
        <w:t>The asset inventory should be accurate, up to date, consistent and aligned with other inventories.</w:t>
      </w:r>
    </w:p>
    <w:p w14:paraId="0AA12FDA" w14:textId="1DD5511A" w:rsidR="008F7D9B" w:rsidRDefault="008F7D9B" w:rsidP="008F7D9B">
      <w:r>
        <w:t xml:space="preserve">For each of the identified assets, ownership of the asset should be </w:t>
      </w:r>
      <w:proofErr w:type="gramStart"/>
      <w:r>
        <w:t>assigned</w:t>
      </w:r>
      <w:proofErr w:type="gramEnd"/>
      <w:r>
        <w:t xml:space="preserve"> and the classification should be identified.</w:t>
      </w:r>
    </w:p>
    <w:p w14:paraId="31F0DB8C" w14:textId="7596459A" w:rsidR="008F7D9B" w:rsidRDefault="008F7D9B" w:rsidP="008F7D9B">
      <w:r>
        <w:t>Inventories of assets help to ensure that effective protection takes place, and may also be required for other purposes, such as health and safety, insurance or financial (asset management) reasons.</w:t>
      </w:r>
    </w:p>
    <w:p w14:paraId="32985C23" w14:textId="1B95113D" w:rsidR="0090115F" w:rsidRDefault="008F7D9B" w:rsidP="008F7D9B">
      <w:r>
        <w:t>ISO/IEC 27005[11] provides examples of assets that might need to be considered by the organisation when identifying assets. The process of compiling an inventory of assets is an important prerequisite of risk management (see also ISO/IEC 27000 and ISO/IEC 27005[11]).</w:t>
      </w:r>
    </w:p>
    <w:p w14:paraId="2F09B39E" w14:textId="77777777" w:rsidR="008F7D9B" w:rsidRDefault="008F7D9B" w:rsidP="008F7D9B">
      <w:pPr>
        <w:pStyle w:val="Heading2"/>
      </w:pPr>
      <w:bookmarkStart w:id="25" w:name="_Toc530305211"/>
      <w:r>
        <w:t>Ownership of assets</w:t>
      </w:r>
      <w:bookmarkEnd w:id="25"/>
    </w:p>
    <w:p w14:paraId="223C7D28" w14:textId="220F6CFD" w:rsidR="008F7D9B" w:rsidRPr="008F7D9B" w:rsidRDefault="008F7D9B" w:rsidP="008F7D9B">
      <w:pPr>
        <w:pStyle w:val="ListParagraph"/>
        <w:jc w:val="right"/>
        <w:rPr>
          <w:i/>
          <w:lang w:eastAsia="x-none"/>
        </w:rPr>
      </w:pPr>
      <w:r>
        <w:rPr>
          <w:i/>
          <w:lang w:eastAsia="x-none"/>
        </w:rPr>
        <w:t>Reference ISO 27001 A.8.1.2</w:t>
      </w:r>
    </w:p>
    <w:p w14:paraId="4BB03833" w14:textId="77777777" w:rsidR="008F7D9B" w:rsidRDefault="008F7D9B" w:rsidP="008F7D9B">
      <w:r>
        <w:t>Assets maintained in the inventory shall be owned. Individuals as well as other entities having approved management responsibility for the asset lifecycle qualify to be assigned as asset owners.</w:t>
      </w:r>
    </w:p>
    <w:p w14:paraId="4268D505" w14:textId="77777777" w:rsidR="008F7D9B" w:rsidRDefault="008F7D9B" w:rsidP="008F7D9B">
      <w:r>
        <w:t>A process to ensure timely assignment of asset ownership is usually implemented. Ownership should be assigned when assets are created or when assets are transferred to the organisation. The asset owner should be responsible for the proper management of an asset over the whole asset lifecycle.</w:t>
      </w:r>
    </w:p>
    <w:p w14:paraId="4AC0E826" w14:textId="77777777" w:rsidR="008F7D9B" w:rsidRDefault="008F7D9B" w:rsidP="008F7D9B">
      <w:r>
        <w:t>The asset owner should:</w:t>
      </w:r>
    </w:p>
    <w:p w14:paraId="6596D0A5" w14:textId="3832FEA1" w:rsidR="008F7D9B" w:rsidRDefault="008F7D9B" w:rsidP="008F7D9B">
      <w:pPr>
        <w:pStyle w:val="ListParagraph"/>
        <w:numPr>
          <w:ilvl w:val="0"/>
          <w:numId w:val="32"/>
        </w:numPr>
      </w:pPr>
      <w:r>
        <w:t>ensure that assets are inventoried</w:t>
      </w:r>
    </w:p>
    <w:p w14:paraId="65CF37C9" w14:textId="175F2EDF" w:rsidR="008F7D9B" w:rsidRDefault="008F7D9B" w:rsidP="008F7D9B">
      <w:pPr>
        <w:pStyle w:val="ListParagraph"/>
        <w:numPr>
          <w:ilvl w:val="0"/>
          <w:numId w:val="32"/>
        </w:numPr>
      </w:pPr>
      <w:r>
        <w:t>ensure that assets are appropriately classified and protected</w:t>
      </w:r>
    </w:p>
    <w:p w14:paraId="599BFECC" w14:textId="3995E652" w:rsidR="008F7D9B" w:rsidRDefault="008F7D9B" w:rsidP="008F7D9B">
      <w:pPr>
        <w:pStyle w:val="ListParagraph"/>
        <w:numPr>
          <w:ilvl w:val="0"/>
          <w:numId w:val="32"/>
        </w:numPr>
      </w:pPr>
      <w:r>
        <w:t xml:space="preserve">define and periodically review access restrictions and classifications to important assets, </w:t>
      </w:r>
      <w:proofErr w:type="gramStart"/>
      <w:r>
        <w:t>taking into account</w:t>
      </w:r>
      <w:proofErr w:type="gramEnd"/>
      <w:r>
        <w:t xml:space="preserve"> applicable access control policies</w:t>
      </w:r>
    </w:p>
    <w:p w14:paraId="1C969C81" w14:textId="07A0E859" w:rsidR="008F7D9B" w:rsidRDefault="008F7D9B" w:rsidP="008F7D9B">
      <w:pPr>
        <w:pStyle w:val="ListParagraph"/>
        <w:numPr>
          <w:ilvl w:val="0"/>
          <w:numId w:val="32"/>
        </w:numPr>
      </w:pPr>
      <w:r>
        <w:t>ensure proper handling when the asset is deleted or destroyed.</w:t>
      </w:r>
    </w:p>
    <w:p w14:paraId="58FEBD54" w14:textId="77777777" w:rsidR="008F7D9B" w:rsidRDefault="008F7D9B" w:rsidP="008F7D9B">
      <w:r>
        <w:lastRenderedPageBreak/>
        <w:t>The identified owner can be either an individual or an entity who has approved management responsibility for controlling the whole lifecycle of an asset. The identified owner does not necessarily have any property rights to the asset.</w:t>
      </w:r>
    </w:p>
    <w:p w14:paraId="3FB22FC2" w14:textId="77777777" w:rsidR="008F7D9B" w:rsidRDefault="008F7D9B" w:rsidP="008F7D9B">
      <w:r>
        <w:t xml:space="preserve">Routine tasks may be delegated, e.g. to a custodian looking after the assets </w:t>
      </w:r>
      <w:proofErr w:type="gramStart"/>
      <w:r>
        <w:t>on a daily basis</w:t>
      </w:r>
      <w:proofErr w:type="gramEnd"/>
      <w:r>
        <w:t>, but the responsibility remains with the owner.</w:t>
      </w:r>
    </w:p>
    <w:p w14:paraId="40C30CE1" w14:textId="46B1B24D" w:rsidR="008F7D9B" w:rsidRDefault="008F7D9B" w:rsidP="008F7D9B">
      <w:r>
        <w:t xml:space="preserve">In complex information systems, it may be useful to designate groups of assets which act together to provide a </w:t>
      </w:r>
      <w:proofErr w:type="gramStart"/>
      <w:r>
        <w:t>particular service</w:t>
      </w:r>
      <w:proofErr w:type="gramEnd"/>
      <w:r>
        <w:t>. In this case the owner of this service is accountable for the delivery of the service, including the operation of its assets.</w:t>
      </w:r>
    </w:p>
    <w:p w14:paraId="5BDFF25B" w14:textId="77777777" w:rsidR="008F7D9B" w:rsidRDefault="008F7D9B" w:rsidP="008F7D9B">
      <w:pPr>
        <w:pStyle w:val="Heading2"/>
      </w:pPr>
      <w:bookmarkStart w:id="26" w:name="_Toc530305212"/>
      <w:r>
        <w:t>Acceptable use of assets</w:t>
      </w:r>
      <w:bookmarkEnd w:id="26"/>
    </w:p>
    <w:p w14:paraId="39618312" w14:textId="2C556ABB" w:rsidR="008F7D9B" w:rsidRDefault="008F7D9B" w:rsidP="008F7D9B">
      <w:pPr>
        <w:jc w:val="right"/>
      </w:pPr>
      <w:r>
        <w:rPr>
          <w:i/>
          <w:lang w:eastAsia="x-none"/>
        </w:rPr>
        <w:t>Reference ISO 27001 A.8.1.3</w:t>
      </w:r>
    </w:p>
    <w:p w14:paraId="2A121DFF" w14:textId="3BF768D9" w:rsidR="008F7D9B" w:rsidRDefault="008F7D9B" w:rsidP="008F7D9B">
      <w:r>
        <w:t xml:space="preserve">Rules for the acceptable use of information and of assets associated with information and information processing facilities shall be identified, documented and implemented. </w:t>
      </w:r>
      <w:r w:rsidRPr="008F7D9B">
        <w:t>Employees and external party users using or having access to the organisation’s assets should be made aware of the information security requirements of the organisation’s assets associated with information and information processing facilities and resources. They should be responsible for their use of any information processing resources and of any such use carried out under their responsibility.</w:t>
      </w:r>
    </w:p>
    <w:p w14:paraId="0014D804" w14:textId="77777777" w:rsidR="008F7D9B" w:rsidRDefault="008F7D9B" w:rsidP="008F7D9B">
      <w:pPr>
        <w:pStyle w:val="Heading2"/>
      </w:pPr>
      <w:bookmarkStart w:id="27" w:name="_Toc530305213"/>
      <w:r>
        <w:t>Return of assets</w:t>
      </w:r>
      <w:bookmarkEnd w:id="27"/>
    </w:p>
    <w:p w14:paraId="3AAFBFAF" w14:textId="34D83A41" w:rsidR="008F7D9B" w:rsidRDefault="008F7D9B" w:rsidP="008F7D9B">
      <w:pPr>
        <w:jc w:val="right"/>
      </w:pPr>
      <w:r>
        <w:rPr>
          <w:i/>
          <w:lang w:eastAsia="x-none"/>
        </w:rPr>
        <w:t>Reference ISO 27001 A.8.1.4</w:t>
      </w:r>
    </w:p>
    <w:p w14:paraId="1D7E245A" w14:textId="316D2641" w:rsidR="008F7D9B" w:rsidRDefault="008F7D9B" w:rsidP="008F7D9B">
      <w:r>
        <w:t>All employees and external party users shall return all organisational assets in their possession upon termination of their employment, contract or agreement.</w:t>
      </w:r>
    </w:p>
    <w:p w14:paraId="7C7C507F" w14:textId="77777777" w:rsidR="008F7D9B" w:rsidRDefault="008F7D9B" w:rsidP="008F7D9B">
      <w:r>
        <w:t>The termination process should be formalized to include the return of all previously issued physical and electronic assets owned by or entrusted to the organisation.</w:t>
      </w:r>
    </w:p>
    <w:p w14:paraId="48290FA6" w14:textId="77777777" w:rsidR="008F7D9B" w:rsidRDefault="008F7D9B" w:rsidP="008F7D9B">
      <w:r>
        <w:t>In cases where an employee or external party user purchases the organisation’s equipment or uses their own personal equipment, procedures should be followed to ensure that all relevant information is transferred to the organisation and securely erased from the equipment.</w:t>
      </w:r>
    </w:p>
    <w:p w14:paraId="4361466F" w14:textId="6A4A225A" w:rsidR="008F7D9B" w:rsidRDefault="008F7D9B" w:rsidP="008F7D9B">
      <w:r>
        <w:t>In cases where an employee or external party user has knowledge that is important to ongoing operations, that information should be documented and transferred to the organisation. During the notice period of termination, the organisation should control unauthorized copying of relevant information (e.g. intellectual property) by terminated employees and contractors.</w:t>
      </w:r>
    </w:p>
    <w:p w14:paraId="3A90BF47" w14:textId="77777777" w:rsidR="0090115F" w:rsidRPr="0090115F" w:rsidRDefault="0090115F" w:rsidP="0090115F"/>
    <w:p w14:paraId="4F2B49C2" w14:textId="77777777" w:rsidR="0090115F" w:rsidRPr="0090115F" w:rsidRDefault="0090115F" w:rsidP="0090115F">
      <w:pPr>
        <w:rPr>
          <w:lang w:eastAsia="x-none"/>
        </w:rPr>
      </w:pPr>
    </w:p>
    <w:sectPr w:rsidR="0090115F" w:rsidRPr="0090115F" w:rsidSect="00580EC5">
      <w:pgSz w:w="11906" w:h="16838" w:code="9"/>
      <w:pgMar w:top="1440" w:right="1440" w:bottom="1440" w:left="1440" w:header="709"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3ECC" w14:textId="77777777" w:rsidR="00651899" w:rsidRDefault="00651899" w:rsidP="00046669">
      <w:pPr>
        <w:spacing w:after="0"/>
      </w:pPr>
      <w:r>
        <w:separator/>
      </w:r>
    </w:p>
  </w:endnote>
  <w:endnote w:type="continuationSeparator" w:id="0">
    <w:p w14:paraId="7551697B" w14:textId="77777777" w:rsidR="00651899" w:rsidRDefault="00651899" w:rsidP="00046669">
      <w:pPr>
        <w:spacing w:after="0"/>
      </w:pPr>
      <w:r>
        <w:continuationSeparator/>
      </w:r>
    </w:p>
  </w:endnote>
  <w:endnote w:type="continuationNotice" w:id="1">
    <w:p w14:paraId="2C057851" w14:textId="77777777" w:rsidR="00651899" w:rsidRDefault="006518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BE93" w14:textId="49745CC2" w:rsidR="00BD7EA6" w:rsidRPr="00E10E64" w:rsidRDefault="00BD7EA6" w:rsidP="00FA2440">
    <w:pPr>
      <w:pStyle w:val="Footer"/>
      <w:tabs>
        <w:tab w:val="clear" w:pos="9026"/>
        <w:tab w:val="right" w:pos="9333"/>
      </w:tabs>
      <w:ind w:left="-284"/>
      <w:jc w:val="center"/>
    </w:pPr>
    <w:r>
      <w:rPr>
        <w:lang w:val="en-GB"/>
      </w:rPr>
      <w:t xml:space="preserve">Version: 0.1 draft       </w:t>
    </w:r>
    <w:r w:rsidR="00355822">
      <w:rPr>
        <w:lang w:val="en-GB"/>
      </w:rPr>
      <w:t>Il7</w:t>
    </w:r>
    <w:r>
      <w:rPr>
        <w:lang w:val="en-GB"/>
      </w:rPr>
      <w:t xml:space="preserve"> Info</w:t>
    </w:r>
    <w:r w:rsidR="001A31B8">
      <w:rPr>
        <w:lang w:val="en-GB"/>
      </w:rPr>
      <w:t xml:space="preserve">rmation Security Asset Management </w:t>
    </w:r>
    <w:r>
      <w:rPr>
        <w:lang w:val="en-GB"/>
      </w:rPr>
      <w:t xml:space="preserve">Policy     </w:t>
    </w:r>
    <w:r w:rsidRPr="00BD7EA6">
      <w:rPr>
        <w:lang w:val="en-GB"/>
      </w:rPr>
      <w:t xml:space="preserve">Page </w:t>
    </w:r>
    <w:r w:rsidRPr="00BD7EA6">
      <w:rPr>
        <w:b/>
        <w:bCs/>
        <w:lang w:val="en-GB"/>
      </w:rPr>
      <w:fldChar w:fldCharType="begin"/>
    </w:r>
    <w:r w:rsidRPr="00BD7EA6">
      <w:rPr>
        <w:b/>
        <w:bCs/>
        <w:lang w:val="en-GB"/>
      </w:rPr>
      <w:instrText xml:space="preserve"> PAGE  \* Arabic  \* MERGEFORMAT </w:instrText>
    </w:r>
    <w:r w:rsidRPr="00BD7EA6">
      <w:rPr>
        <w:b/>
        <w:bCs/>
        <w:lang w:val="en-GB"/>
      </w:rPr>
      <w:fldChar w:fldCharType="separate"/>
    </w:r>
    <w:r w:rsidRPr="00BD7EA6">
      <w:rPr>
        <w:b/>
        <w:bCs/>
        <w:noProof/>
        <w:lang w:val="en-GB"/>
      </w:rPr>
      <w:t>1</w:t>
    </w:r>
    <w:r w:rsidRPr="00BD7EA6">
      <w:rPr>
        <w:b/>
        <w:bCs/>
        <w:lang w:val="en-GB"/>
      </w:rPr>
      <w:fldChar w:fldCharType="end"/>
    </w:r>
    <w:r w:rsidRPr="00BD7EA6">
      <w:rPr>
        <w:lang w:val="en-GB"/>
      </w:rPr>
      <w:t xml:space="preserve"> of </w:t>
    </w:r>
    <w:r w:rsidRPr="00BD7EA6">
      <w:rPr>
        <w:b/>
        <w:bCs/>
        <w:lang w:val="en-GB"/>
      </w:rPr>
      <w:fldChar w:fldCharType="begin"/>
    </w:r>
    <w:r w:rsidRPr="00BD7EA6">
      <w:rPr>
        <w:b/>
        <w:bCs/>
        <w:lang w:val="en-GB"/>
      </w:rPr>
      <w:instrText xml:space="preserve"> NUMPAGES  \* Arabic  \* MERGEFORMAT </w:instrText>
    </w:r>
    <w:r w:rsidRPr="00BD7EA6">
      <w:rPr>
        <w:b/>
        <w:bCs/>
        <w:lang w:val="en-GB"/>
      </w:rPr>
      <w:fldChar w:fldCharType="separate"/>
    </w:r>
    <w:r w:rsidRPr="00BD7EA6">
      <w:rPr>
        <w:b/>
        <w:bCs/>
        <w:noProof/>
        <w:lang w:val="en-GB"/>
      </w:rPr>
      <w:t>2</w:t>
    </w:r>
    <w:r w:rsidRPr="00BD7EA6">
      <w:rPr>
        <w:b/>
        <w:bCs/>
        <w:lang w:val="en-GB"/>
      </w:rPr>
      <w:fldChar w:fldCharType="end"/>
    </w:r>
    <w:r>
      <w:rPr>
        <w:lang w:val="en-GB"/>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219D" w14:textId="77777777" w:rsidR="00651899" w:rsidRDefault="00651899" w:rsidP="00046669">
      <w:pPr>
        <w:spacing w:after="0"/>
      </w:pPr>
      <w:r>
        <w:separator/>
      </w:r>
    </w:p>
  </w:footnote>
  <w:footnote w:type="continuationSeparator" w:id="0">
    <w:p w14:paraId="769421C1" w14:textId="77777777" w:rsidR="00651899" w:rsidRDefault="00651899" w:rsidP="00046669">
      <w:pPr>
        <w:spacing w:after="0"/>
      </w:pPr>
      <w:r>
        <w:continuationSeparator/>
      </w:r>
    </w:p>
  </w:footnote>
  <w:footnote w:type="continuationNotice" w:id="1">
    <w:p w14:paraId="473A91AA" w14:textId="77777777" w:rsidR="00651899" w:rsidRDefault="0065189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C5"/>
    <w:multiLevelType w:val="hybridMultilevel"/>
    <w:tmpl w:val="07BE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E04"/>
    <w:multiLevelType w:val="hybridMultilevel"/>
    <w:tmpl w:val="5442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3BF6"/>
    <w:multiLevelType w:val="hybridMultilevel"/>
    <w:tmpl w:val="010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A6565"/>
    <w:multiLevelType w:val="multilevel"/>
    <w:tmpl w:val="A2484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921663"/>
    <w:multiLevelType w:val="hybridMultilevel"/>
    <w:tmpl w:val="E8D82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33F0C"/>
    <w:multiLevelType w:val="hybridMultilevel"/>
    <w:tmpl w:val="02E8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737"/>
    <w:multiLevelType w:val="hybridMultilevel"/>
    <w:tmpl w:val="8944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67E69"/>
    <w:multiLevelType w:val="hybridMultilevel"/>
    <w:tmpl w:val="169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C09D9"/>
    <w:multiLevelType w:val="hybridMultilevel"/>
    <w:tmpl w:val="FFA4D3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5294C"/>
    <w:multiLevelType w:val="hybridMultilevel"/>
    <w:tmpl w:val="FF42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C2EC4"/>
    <w:multiLevelType w:val="hybridMultilevel"/>
    <w:tmpl w:val="987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678B0"/>
    <w:multiLevelType w:val="hybridMultilevel"/>
    <w:tmpl w:val="9CD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C124D"/>
    <w:multiLevelType w:val="hybridMultilevel"/>
    <w:tmpl w:val="867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43E78"/>
    <w:multiLevelType w:val="hybridMultilevel"/>
    <w:tmpl w:val="9438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D545E"/>
    <w:multiLevelType w:val="hybridMultilevel"/>
    <w:tmpl w:val="B696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B03C3"/>
    <w:multiLevelType w:val="hybridMultilevel"/>
    <w:tmpl w:val="05F86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64E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D764B"/>
    <w:multiLevelType w:val="hybridMultilevel"/>
    <w:tmpl w:val="EBF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50C4F"/>
    <w:multiLevelType w:val="hybridMultilevel"/>
    <w:tmpl w:val="4456F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6631B"/>
    <w:multiLevelType w:val="hybridMultilevel"/>
    <w:tmpl w:val="7D70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E318C"/>
    <w:multiLevelType w:val="hybridMultilevel"/>
    <w:tmpl w:val="19DE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D0540"/>
    <w:multiLevelType w:val="hybridMultilevel"/>
    <w:tmpl w:val="344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E40D9"/>
    <w:multiLevelType w:val="hybridMultilevel"/>
    <w:tmpl w:val="5A5E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85120"/>
    <w:multiLevelType w:val="hybridMultilevel"/>
    <w:tmpl w:val="748CA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E6731"/>
    <w:multiLevelType w:val="hybridMultilevel"/>
    <w:tmpl w:val="CDD29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7756F"/>
    <w:multiLevelType w:val="hybridMultilevel"/>
    <w:tmpl w:val="CC12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A3C29"/>
    <w:multiLevelType w:val="hybridMultilevel"/>
    <w:tmpl w:val="5D20E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643777"/>
    <w:multiLevelType w:val="hybridMultilevel"/>
    <w:tmpl w:val="FC6A18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8317C"/>
    <w:multiLevelType w:val="hybridMultilevel"/>
    <w:tmpl w:val="AFA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C070B"/>
    <w:multiLevelType w:val="hybridMultilevel"/>
    <w:tmpl w:val="BFB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32AC7"/>
    <w:multiLevelType w:val="hybridMultilevel"/>
    <w:tmpl w:val="C1B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201C2"/>
    <w:multiLevelType w:val="hybridMultilevel"/>
    <w:tmpl w:val="31E8E9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A3E20"/>
    <w:multiLevelType w:val="hybridMultilevel"/>
    <w:tmpl w:val="0A5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A55ED"/>
    <w:multiLevelType w:val="hybridMultilevel"/>
    <w:tmpl w:val="7B22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22"/>
  </w:num>
  <w:num w:numId="5">
    <w:abstractNumId w:val="31"/>
  </w:num>
  <w:num w:numId="6">
    <w:abstractNumId w:val="7"/>
  </w:num>
  <w:num w:numId="7">
    <w:abstractNumId w:val="17"/>
  </w:num>
  <w:num w:numId="8">
    <w:abstractNumId w:val="2"/>
  </w:num>
  <w:num w:numId="9">
    <w:abstractNumId w:val="25"/>
  </w:num>
  <w:num w:numId="10">
    <w:abstractNumId w:val="28"/>
  </w:num>
  <w:num w:numId="11">
    <w:abstractNumId w:val="30"/>
  </w:num>
  <w:num w:numId="12">
    <w:abstractNumId w:val="21"/>
  </w:num>
  <w:num w:numId="13">
    <w:abstractNumId w:val="14"/>
  </w:num>
  <w:num w:numId="14">
    <w:abstractNumId w:val="24"/>
  </w:num>
  <w:num w:numId="15">
    <w:abstractNumId w:val="15"/>
  </w:num>
  <w:num w:numId="16">
    <w:abstractNumId w:val="1"/>
  </w:num>
  <w:num w:numId="17">
    <w:abstractNumId w:val="18"/>
  </w:num>
  <w:num w:numId="18">
    <w:abstractNumId w:val="27"/>
  </w:num>
  <w:num w:numId="19">
    <w:abstractNumId w:val="19"/>
  </w:num>
  <w:num w:numId="20">
    <w:abstractNumId w:val="32"/>
  </w:num>
  <w:num w:numId="21">
    <w:abstractNumId w:val="10"/>
  </w:num>
  <w:num w:numId="22">
    <w:abstractNumId w:val="11"/>
  </w:num>
  <w:num w:numId="23">
    <w:abstractNumId w:val="20"/>
  </w:num>
  <w:num w:numId="24">
    <w:abstractNumId w:val="23"/>
  </w:num>
  <w:num w:numId="25">
    <w:abstractNumId w:val="8"/>
  </w:num>
  <w:num w:numId="26">
    <w:abstractNumId w:val="6"/>
  </w:num>
  <w:num w:numId="27">
    <w:abstractNumId w:val="5"/>
  </w:num>
  <w:num w:numId="28">
    <w:abstractNumId w:val="13"/>
  </w:num>
  <w:num w:numId="29">
    <w:abstractNumId w:val="29"/>
  </w:num>
  <w:num w:numId="30">
    <w:abstractNumId w:val="33"/>
  </w:num>
  <w:num w:numId="31">
    <w:abstractNumId w:val="12"/>
  </w:num>
  <w:num w:numId="32">
    <w:abstractNumId w:val="9"/>
  </w:num>
  <w:num w:numId="33">
    <w:abstractNumId w:val="4"/>
  </w:num>
  <w:num w:numId="3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B3"/>
    <w:rsid w:val="00014555"/>
    <w:rsid w:val="0001773A"/>
    <w:rsid w:val="00020717"/>
    <w:rsid w:val="00037807"/>
    <w:rsid w:val="000403FE"/>
    <w:rsid w:val="00046669"/>
    <w:rsid w:val="00046D6E"/>
    <w:rsid w:val="00046E71"/>
    <w:rsid w:val="0004722A"/>
    <w:rsid w:val="00056998"/>
    <w:rsid w:val="00064B55"/>
    <w:rsid w:val="00067574"/>
    <w:rsid w:val="00070C96"/>
    <w:rsid w:val="00076C19"/>
    <w:rsid w:val="00077D7F"/>
    <w:rsid w:val="000925C8"/>
    <w:rsid w:val="000A0BAE"/>
    <w:rsid w:val="000A32BD"/>
    <w:rsid w:val="000A4771"/>
    <w:rsid w:val="000A5AE5"/>
    <w:rsid w:val="000B08F4"/>
    <w:rsid w:val="000C18DF"/>
    <w:rsid w:val="000C4887"/>
    <w:rsid w:val="000D3B59"/>
    <w:rsid w:val="000D7675"/>
    <w:rsid w:val="000D7FA9"/>
    <w:rsid w:val="000E517D"/>
    <w:rsid w:val="000E7A3D"/>
    <w:rsid w:val="001127F3"/>
    <w:rsid w:val="001164ED"/>
    <w:rsid w:val="00116C4D"/>
    <w:rsid w:val="001201FD"/>
    <w:rsid w:val="00123792"/>
    <w:rsid w:val="001451F0"/>
    <w:rsid w:val="00152A2F"/>
    <w:rsid w:val="001616CE"/>
    <w:rsid w:val="00167AF6"/>
    <w:rsid w:val="00172FC4"/>
    <w:rsid w:val="00191E70"/>
    <w:rsid w:val="001A31B8"/>
    <w:rsid w:val="001A67DA"/>
    <w:rsid w:val="001B085E"/>
    <w:rsid w:val="001B0966"/>
    <w:rsid w:val="001B2526"/>
    <w:rsid w:val="001B413C"/>
    <w:rsid w:val="001C0FB7"/>
    <w:rsid w:val="001D3F10"/>
    <w:rsid w:val="001D5246"/>
    <w:rsid w:val="001D5AC7"/>
    <w:rsid w:val="001D5EE1"/>
    <w:rsid w:val="001D7CBE"/>
    <w:rsid w:val="001E4CF0"/>
    <w:rsid w:val="001E6BDB"/>
    <w:rsid w:val="001F1517"/>
    <w:rsid w:val="001F604F"/>
    <w:rsid w:val="00200982"/>
    <w:rsid w:val="00201B13"/>
    <w:rsid w:val="00223BDC"/>
    <w:rsid w:val="00235081"/>
    <w:rsid w:val="002358B1"/>
    <w:rsid w:val="002465CE"/>
    <w:rsid w:val="00253A54"/>
    <w:rsid w:val="002646EC"/>
    <w:rsid w:val="00274396"/>
    <w:rsid w:val="00274781"/>
    <w:rsid w:val="002872B3"/>
    <w:rsid w:val="00297EDE"/>
    <w:rsid w:val="002A1EA8"/>
    <w:rsid w:val="002A1FDF"/>
    <w:rsid w:val="002C54D4"/>
    <w:rsid w:val="002C5806"/>
    <w:rsid w:val="002D3B15"/>
    <w:rsid w:val="002D7649"/>
    <w:rsid w:val="002E34C6"/>
    <w:rsid w:val="002F3EC2"/>
    <w:rsid w:val="0031227F"/>
    <w:rsid w:val="003137EF"/>
    <w:rsid w:val="0031665F"/>
    <w:rsid w:val="00331EBB"/>
    <w:rsid w:val="00335422"/>
    <w:rsid w:val="00341C1C"/>
    <w:rsid w:val="00341E4F"/>
    <w:rsid w:val="0034407A"/>
    <w:rsid w:val="00347589"/>
    <w:rsid w:val="00355822"/>
    <w:rsid w:val="003725A8"/>
    <w:rsid w:val="00391C6E"/>
    <w:rsid w:val="00391D0B"/>
    <w:rsid w:val="003A1E01"/>
    <w:rsid w:val="003A3BBD"/>
    <w:rsid w:val="003A6D3B"/>
    <w:rsid w:val="003C1EFE"/>
    <w:rsid w:val="003D07AA"/>
    <w:rsid w:val="003F3E7D"/>
    <w:rsid w:val="004174A1"/>
    <w:rsid w:val="004205EE"/>
    <w:rsid w:val="00423FAD"/>
    <w:rsid w:val="004267C7"/>
    <w:rsid w:val="004362A4"/>
    <w:rsid w:val="0043671C"/>
    <w:rsid w:val="00443346"/>
    <w:rsid w:val="0044389B"/>
    <w:rsid w:val="00443C7E"/>
    <w:rsid w:val="0046166A"/>
    <w:rsid w:val="00463FD8"/>
    <w:rsid w:val="004665BE"/>
    <w:rsid w:val="00471942"/>
    <w:rsid w:val="00484D07"/>
    <w:rsid w:val="00493747"/>
    <w:rsid w:val="00495841"/>
    <w:rsid w:val="00495BF0"/>
    <w:rsid w:val="004A0816"/>
    <w:rsid w:val="004A40FC"/>
    <w:rsid w:val="004A61D4"/>
    <w:rsid w:val="004B6491"/>
    <w:rsid w:val="004C06D2"/>
    <w:rsid w:val="004C0C2D"/>
    <w:rsid w:val="004C1429"/>
    <w:rsid w:val="004E516B"/>
    <w:rsid w:val="004F3D81"/>
    <w:rsid w:val="004F3EBA"/>
    <w:rsid w:val="004F677E"/>
    <w:rsid w:val="004F7296"/>
    <w:rsid w:val="00507C97"/>
    <w:rsid w:val="0052076C"/>
    <w:rsid w:val="005241BC"/>
    <w:rsid w:val="00531594"/>
    <w:rsid w:val="00544EEB"/>
    <w:rsid w:val="005534AA"/>
    <w:rsid w:val="005536D2"/>
    <w:rsid w:val="005742D2"/>
    <w:rsid w:val="00574B0B"/>
    <w:rsid w:val="00580EC5"/>
    <w:rsid w:val="005A5D65"/>
    <w:rsid w:val="005B455E"/>
    <w:rsid w:val="005C016B"/>
    <w:rsid w:val="005C0339"/>
    <w:rsid w:val="005D38AC"/>
    <w:rsid w:val="005E00DC"/>
    <w:rsid w:val="005F3E15"/>
    <w:rsid w:val="005F5601"/>
    <w:rsid w:val="005F56E4"/>
    <w:rsid w:val="005F6E68"/>
    <w:rsid w:val="005F7DAB"/>
    <w:rsid w:val="00605329"/>
    <w:rsid w:val="00613EBF"/>
    <w:rsid w:val="00615318"/>
    <w:rsid w:val="00615FF7"/>
    <w:rsid w:val="00624540"/>
    <w:rsid w:val="006312B0"/>
    <w:rsid w:val="006402C7"/>
    <w:rsid w:val="00645149"/>
    <w:rsid w:val="00651899"/>
    <w:rsid w:val="00657F91"/>
    <w:rsid w:val="00660725"/>
    <w:rsid w:val="00662602"/>
    <w:rsid w:val="00672F38"/>
    <w:rsid w:val="00685658"/>
    <w:rsid w:val="006859F1"/>
    <w:rsid w:val="00693095"/>
    <w:rsid w:val="006A3C76"/>
    <w:rsid w:val="006B27FB"/>
    <w:rsid w:val="006B3C23"/>
    <w:rsid w:val="006B6281"/>
    <w:rsid w:val="006C32B9"/>
    <w:rsid w:val="006E11F8"/>
    <w:rsid w:val="006E120C"/>
    <w:rsid w:val="006E2A5C"/>
    <w:rsid w:val="006E47AD"/>
    <w:rsid w:val="006F13A2"/>
    <w:rsid w:val="006F443C"/>
    <w:rsid w:val="00704E5B"/>
    <w:rsid w:val="00707F1E"/>
    <w:rsid w:val="007131F3"/>
    <w:rsid w:val="0072065B"/>
    <w:rsid w:val="007330D3"/>
    <w:rsid w:val="00733A6A"/>
    <w:rsid w:val="0073414D"/>
    <w:rsid w:val="00740DA0"/>
    <w:rsid w:val="00743F78"/>
    <w:rsid w:val="0075289E"/>
    <w:rsid w:val="00752D52"/>
    <w:rsid w:val="00761032"/>
    <w:rsid w:val="007810E0"/>
    <w:rsid w:val="00782256"/>
    <w:rsid w:val="007823DA"/>
    <w:rsid w:val="00784212"/>
    <w:rsid w:val="00786BFB"/>
    <w:rsid w:val="00787996"/>
    <w:rsid w:val="007942DF"/>
    <w:rsid w:val="007A2F7F"/>
    <w:rsid w:val="007A7539"/>
    <w:rsid w:val="007D342B"/>
    <w:rsid w:val="007E1C58"/>
    <w:rsid w:val="007E74F3"/>
    <w:rsid w:val="00807351"/>
    <w:rsid w:val="00812318"/>
    <w:rsid w:val="00824CC3"/>
    <w:rsid w:val="008254FE"/>
    <w:rsid w:val="00842FDD"/>
    <w:rsid w:val="00845DDE"/>
    <w:rsid w:val="008476E7"/>
    <w:rsid w:val="008501E6"/>
    <w:rsid w:val="00851562"/>
    <w:rsid w:val="00854B10"/>
    <w:rsid w:val="008605C9"/>
    <w:rsid w:val="00860A8C"/>
    <w:rsid w:val="00871780"/>
    <w:rsid w:val="0087490D"/>
    <w:rsid w:val="00877B49"/>
    <w:rsid w:val="0088089E"/>
    <w:rsid w:val="00882254"/>
    <w:rsid w:val="008948B8"/>
    <w:rsid w:val="00894B5B"/>
    <w:rsid w:val="008A0473"/>
    <w:rsid w:val="008A684B"/>
    <w:rsid w:val="008A7F57"/>
    <w:rsid w:val="008C17D8"/>
    <w:rsid w:val="008C734D"/>
    <w:rsid w:val="008C7893"/>
    <w:rsid w:val="008C7B8E"/>
    <w:rsid w:val="008D1AC9"/>
    <w:rsid w:val="008D7D7C"/>
    <w:rsid w:val="008E79B6"/>
    <w:rsid w:val="008F084F"/>
    <w:rsid w:val="008F28B6"/>
    <w:rsid w:val="008F3EBC"/>
    <w:rsid w:val="008F7D9B"/>
    <w:rsid w:val="00900A8C"/>
    <w:rsid w:val="0090115F"/>
    <w:rsid w:val="00902F01"/>
    <w:rsid w:val="009067AE"/>
    <w:rsid w:val="00923D14"/>
    <w:rsid w:val="00925287"/>
    <w:rsid w:val="00925F73"/>
    <w:rsid w:val="009440E3"/>
    <w:rsid w:val="00945B2E"/>
    <w:rsid w:val="00960546"/>
    <w:rsid w:val="00961CEE"/>
    <w:rsid w:val="00963B78"/>
    <w:rsid w:val="00972AD9"/>
    <w:rsid w:val="009871AD"/>
    <w:rsid w:val="0099790A"/>
    <w:rsid w:val="009B3E49"/>
    <w:rsid w:val="009C4E06"/>
    <w:rsid w:val="009E52DD"/>
    <w:rsid w:val="00A15250"/>
    <w:rsid w:val="00A17669"/>
    <w:rsid w:val="00A2535C"/>
    <w:rsid w:val="00A33AE0"/>
    <w:rsid w:val="00A37065"/>
    <w:rsid w:val="00A41AFF"/>
    <w:rsid w:val="00A430F3"/>
    <w:rsid w:val="00A45423"/>
    <w:rsid w:val="00A62511"/>
    <w:rsid w:val="00A71D70"/>
    <w:rsid w:val="00A7224B"/>
    <w:rsid w:val="00A72EC9"/>
    <w:rsid w:val="00A7738E"/>
    <w:rsid w:val="00A876E5"/>
    <w:rsid w:val="00A94AFF"/>
    <w:rsid w:val="00AA21CF"/>
    <w:rsid w:val="00AA2A0E"/>
    <w:rsid w:val="00AC7444"/>
    <w:rsid w:val="00AD0196"/>
    <w:rsid w:val="00AD1E18"/>
    <w:rsid w:val="00AE58E2"/>
    <w:rsid w:val="00AF2CBD"/>
    <w:rsid w:val="00B01F0D"/>
    <w:rsid w:val="00B023EB"/>
    <w:rsid w:val="00B042E8"/>
    <w:rsid w:val="00B05A11"/>
    <w:rsid w:val="00B10F7A"/>
    <w:rsid w:val="00B33E87"/>
    <w:rsid w:val="00B45C7B"/>
    <w:rsid w:val="00B45E9F"/>
    <w:rsid w:val="00B476A4"/>
    <w:rsid w:val="00B6612B"/>
    <w:rsid w:val="00B676D2"/>
    <w:rsid w:val="00B67BDA"/>
    <w:rsid w:val="00B72E2C"/>
    <w:rsid w:val="00B73FC0"/>
    <w:rsid w:val="00B76200"/>
    <w:rsid w:val="00B81886"/>
    <w:rsid w:val="00B834DF"/>
    <w:rsid w:val="00B8705C"/>
    <w:rsid w:val="00B9455D"/>
    <w:rsid w:val="00BA31E4"/>
    <w:rsid w:val="00BA6AD8"/>
    <w:rsid w:val="00BB61D9"/>
    <w:rsid w:val="00BC38B4"/>
    <w:rsid w:val="00BC4CEC"/>
    <w:rsid w:val="00BC5562"/>
    <w:rsid w:val="00BC693E"/>
    <w:rsid w:val="00BD7EA6"/>
    <w:rsid w:val="00BF1F29"/>
    <w:rsid w:val="00C03224"/>
    <w:rsid w:val="00C120F9"/>
    <w:rsid w:val="00C12100"/>
    <w:rsid w:val="00C1623A"/>
    <w:rsid w:val="00C223F1"/>
    <w:rsid w:val="00C305D9"/>
    <w:rsid w:val="00C31071"/>
    <w:rsid w:val="00C34989"/>
    <w:rsid w:val="00C36346"/>
    <w:rsid w:val="00C44A45"/>
    <w:rsid w:val="00C45CA3"/>
    <w:rsid w:val="00C508E6"/>
    <w:rsid w:val="00C57E4A"/>
    <w:rsid w:val="00C66F80"/>
    <w:rsid w:val="00C71917"/>
    <w:rsid w:val="00C75544"/>
    <w:rsid w:val="00C81D09"/>
    <w:rsid w:val="00C878C4"/>
    <w:rsid w:val="00C87E37"/>
    <w:rsid w:val="00C919CF"/>
    <w:rsid w:val="00C9262D"/>
    <w:rsid w:val="00C926F8"/>
    <w:rsid w:val="00C960E8"/>
    <w:rsid w:val="00CA6586"/>
    <w:rsid w:val="00CC1486"/>
    <w:rsid w:val="00CC671D"/>
    <w:rsid w:val="00CC76BA"/>
    <w:rsid w:val="00CC7969"/>
    <w:rsid w:val="00CD58C0"/>
    <w:rsid w:val="00CD66BE"/>
    <w:rsid w:val="00CD7D52"/>
    <w:rsid w:val="00CE74FB"/>
    <w:rsid w:val="00D13676"/>
    <w:rsid w:val="00D14585"/>
    <w:rsid w:val="00D26811"/>
    <w:rsid w:val="00D3757C"/>
    <w:rsid w:val="00D37BC2"/>
    <w:rsid w:val="00D44D4F"/>
    <w:rsid w:val="00D474E2"/>
    <w:rsid w:val="00D54552"/>
    <w:rsid w:val="00D54D06"/>
    <w:rsid w:val="00D60238"/>
    <w:rsid w:val="00D617B9"/>
    <w:rsid w:val="00D67507"/>
    <w:rsid w:val="00D67D65"/>
    <w:rsid w:val="00D70D5B"/>
    <w:rsid w:val="00D7122A"/>
    <w:rsid w:val="00D74C4E"/>
    <w:rsid w:val="00D823E9"/>
    <w:rsid w:val="00D853F3"/>
    <w:rsid w:val="00D87E2B"/>
    <w:rsid w:val="00D9040F"/>
    <w:rsid w:val="00D9076A"/>
    <w:rsid w:val="00D93FB4"/>
    <w:rsid w:val="00DB0CEF"/>
    <w:rsid w:val="00DB3C78"/>
    <w:rsid w:val="00DC1009"/>
    <w:rsid w:val="00DC35CA"/>
    <w:rsid w:val="00DE1F3D"/>
    <w:rsid w:val="00DE69A1"/>
    <w:rsid w:val="00DF5D61"/>
    <w:rsid w:val="00E010C7"/>
    <w:rsid w:val="00E0136D"/>
    <w:rsid w:val="00E04CFB"/>
    <w:rsid w:val="00E0752F"/>
    <w:rsid w:val="00E1162E"/>
    <w:rsid w:val="00E23DE4"/>
    <w:rsid w:val="00E35D6C"/>
    <w:rsid w:val="00E40A68"/>
    <w:rsid w:val="00E42C52"/>
    <w:rsid w:val="00E44303"/>
    <w:rsid w:val="00E50A67"/>
    <w:rsid w:val="00E54682"/>
    <w:rsid w:val="00E54984"/>
    <w:rsid w:val="00E7569A"/>
    <w:rsid w:val="00E97C7E"/>
    <w:rsid w:val="00EA4B1A"/>
    <w:rsid w:val="00EA700E"/>
    <w:rsid w:val="00EB0334"/>
    <w:rsid w:val="00EC32E7"/>
    <w:rsid w:val="00EC65E5"/>
    <w:rsid w:val="00EE63EA"/>
    <w:rsid w:val="00EF3409"/>
    <w:rsid w:val="00EF4D1D"/>
    <w:rsid w:val="00EF5E2B"/>
    <w:rsid w:val="00F2702E"/>
    <w:rsid w:val="00F2792D"/>
    <w:rsid w:val="00F33439"/>
    <w:rsid w:val="00F42BCA"/>
    <w:rsid w:val="00F474FE"/>
    <w:rsid w:val="00F64CA5"/>
    <w:rsid w:val="00F7167C"/>
    <w:rsid w:val="00F727AD"/>
    <w:rsid w:val="00F8412B"/>
    <w:rsid w:val="00F847C8"/>
    <w:rsid w:val="00F86D95"/>
    <w:rsid w:val="00F9775F"/>
    <w:rsid w:val="00FA2440"/>
    <w:rsid w:val="00FB19B3"/>
    <w:rsid w:val="00FE214E"/>
    <w:rsid w:val="00FE6BB9"/>
    <w:rsid w:val="04C66289"/>
    <w:rsid w:val="1862CCDA"/>
    <w:rsid w:val="22E2ED0D"/>
    <w:rsid w:val="3935AAEB"/>
    <w:rsid w:val="4387D7F8"/>
    <w:rsid w:val="4719A96E"/>
    <w:rsid w:val="4DE5FEB2"/>
    <w:rsid w:val="4DF19CED"/>
    <w:rsid w:val="5A74B47B"/>
    <w:rsid w:val="5FF894E9"/>
    <w:rsid w:val="60A2804D"/>
    <w:rsid w:val="660F9CB9"/>
    <w:rsid w:val="703EA675"/>
    <w:rsid w:val="70E2B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35AF"/>
  <w15:chartTrackingRefBased/>
  <w15:docId w15:val="{9CFCB353-4E2A-4438-818C-9367ECF9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CF0"/>
    <w:pPr>
      <w:spacing w:after="240" w:line="240" w:lineRule="auto"/>
      <w:jc w:val="both"/>
    </w:pPr>
    <w:rPr>
      <w:rFonts w:ascii="Calibri" w:eastAsia="Calibri" w:hAnsi="Calibri" w:cs="Times New Roman"/>
      <w:sz w:val="24"/>
    </w:rPr>
  </w:style>
  <w:style w:type="paragraph" w:styleId="Heading1">
    <w:name w:val="heading 1"/>
    <w:basedOn w:val="Normal"/>
    <w:next w:val="Normal"/>
    <w:link w:val="Heading1Char"/>
    <w:uiPriority w:val="9"/>
    <w:qFormat/>
    <w:rsid w:val="001F1517"/>
    <w:pPr>
      <w:keepNext/>
      <w:keepLines/>
      <w:spacing w:before="360" w:after="0"/>
      <w:outlineLvl w:val="0"/>
    </w:pPr>
    <w:rPr>
      <w:rFonts w:eastAsia="Times New Roman"/>
      <w:b/>
      <w:bCs/>
      <w:color w:val="0070C0"/>
      <w:sz w:val="32"/>
      <w:szCs w:val="28"/>
      <w:lang w:val="x-none" w:eastAsia="x-none"/>
    </w:rPr>
  </w:style>
  <w:style w:type="paragraph" w:styleId="Heading2">
    <w:name w:val="heading 2"/>
    <w:basedOn w:val="Normal"/>
    <w:next w:val="Normal"/>
    <w:link w:val="Heading2Char"/>
    <w:uiPriority w:val="9"/>
    <w:unhideWhenUsed/>
    <w:qFormat/>
    <w:rsid w:val="001F1517"/>
    <w:pPr>
      <w:keepNext/>
      <w:keepLines/>
      <w:tabs>
        <w:tab w:val="left" w:pos="1134"/>
      </w:tabs>
      <w:spacing w:before="240" w:after="0"/>
      <w:outlineLvl w:val="1"/>
    </w:pPr>
    <w:rPr>
      <w:rFonts w:eastAsia="Times New Roman"/>
      <w:b/>
      <w:bCs/>
      <w:color w:val="0070C0"/>
      <w:sz w:val="28"/>
      <w:szCs w:val="26"/>
      <w:lang w:val="x-none" w:eastAsia="x-none"/>
    </w:rPr>
  </w:style>
  <w:style w:type="paragraph" w:styleId="Heading3">
    <w:name w:val="heading 3"/>
    <w:basedOn w:val="Normal"/>
    <w:next w:val="Normal"/>
    <w:link w:val="Heading3Char"/>
    <w:uiPriority w:val="9"/>
    <w:unhideWhenUsed/>
    <w:qFormat/>
    <w:rsid w:val="001F1517"/>
    <w:pPr>
      <w:keepNext/>
      <w:keepLines/>
      <w:tabs>
        <w:tab w:val="left" w:pos="1134"/>
      </w:tabs>
      <w:spacing w:before="240" w:after="0"/>
      <w:outlineLvl w:val="2"/>
    </w:pPr>
    <w:rPr>
      <w:rFonts w:eastAsia="Times New Roman"/>
      <w:b/>
      <w:bCs/>
      <w:color w:val="000000" w:themeColor="text1"/>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517"/>
    <w:rPr>
      <w:rFonts w:ascii="Calibri" w:eastAsia="Times New Roman" w:hAnsi="Calibri" w:cs="Times New Roman"/>
      <w:b/>
      <w:bCs/>
      <w:color w:val="0070C0"/>
      <w:sz w:val="32"/>
      <w:szCs w:val="28"/>
      <w:lang w:val="x-none" w:eastAsia="x-none"/>
    </w:rPr>
  </w:style>
  <w:style w:type="character" w:customStyle="1" w:styleId="Heading2Char">
    <w:name w:val="Heading 2 Char"/>
    <w:basedOn w:val="DefaultParagraphFont"/>
    <w:link w:val="Heading2"/>
    <w:uiPriority w:val="9"/>
    <w:rsid w:val="001F1517"/>
    <w:rPr>
      <w:rFonts w:ascii="Calibri" w:eastAsia="Times New Roman" w:hAnsi="Calibri" w:cs="Times New Roman"/>
      <w:b/>
      <w:bCs/>
      <w:color w:val="0070C0"/>
      <w:sz w:val="28"/>
      <w:szCs w:val="26"/>
      <w:lang w:val="x-none" w:eastAsia="x-none"/>
    </w:rPr>
  </w:style>
  <w:style w:type="character" w:customStyle="1" w:styleId="Heading3Char">
    <w:name w:val="Heading 3 Char"/>
    <w:basedOn w:val="DefaultParagraphFont"/>
    <w:link w:val="Heading3"/>
    <w:uiPriority w:val="9"/>
    <w:rsid w:val="001F1517"/>
    <w:rPr>
      <w:rFonts w:ascii="Calibri" w:eastAsia="Times New Roman" w:hAnsi="Calibri" w:cs="Times New Roman"/>
      <w:b/>
      <w:bCs/>
      <w:color w:val="000000" w:themeColor="text1"/>
      <w:sz w:val="26"/>
      <w:szCs w:val="20"/>
      <w:lang w:val="x-none" w:eastAsia="x-none"/>
    </w:rPr>
  </w:style>
  <w:style w:type="paragraph" w:styleId="Header">
    <w:name w:val="header"/>
    <w:basedOn w:val="Normal"/>
    <w:link w:val="HeaderChar"/>
    <w:uiPriority w:val="99"/>
    <w:unhideWhenUsed/>
    <w:rsid w:val="002872B3"/>
    <w:pPr>
      <w:pBdr>
        <w:bottom w:val="single" w:sz="8" w:space="9" w:color="595959"/>
      </w:pBdr>
      <w:tabs>
        <w:tab w:val="center" w:pos="4513"/>
        <w:tab w:val="right" w:pos="9026"/>
      </w:tabs>
      <w:spacing w:after="0"/>
    </w:pPr>
    <w:rPr>
      <w:szCs w:val="20"/>
      <w:lang w:val="x-none" w:eastAsia="x-none"/>
    </w:rPr>
  </w:style>
  <w:style w:type="character" w:customStyle="1" w:styleId="HeaderChar">
    <w:name w:val="Header Char"/>
    <w:basedOn w:val="DefaultParagraphFont"/>
    <w:link w:val="Header"/>
    <w:uiPriority w:val="99"/>
    <w:rsid w:val="002872B3"/>
    <w:rPr>
      <w:rFonts w:ascii="Calibri" w:eastAsia="Calibri" w:hAnsi="Calibri" w:cs="Times New Roman"/>
      <w:sz w:val="24"/>
      <w:szCs w:val="20"/>
      <w:lang w:val="x-none" w:eastAsia="x-none"/>
    </w:rPr>
  </w:style>
  <w:style w:type="paragraph" w:styleId="Footer">
    <w:name w:val="footer"/>
    <w:basedOn w:val="Normal"/>
    <w:link w:val="FooterChar"/>
    <w:uiPriority w:val="99"/>
    <w:unhideWhenUsed/>
    <w:rsid w:val="002872B3"/>
    <w:pPr>
      <w:pBdr>
        <w:top w:val="single" w:sz="8" w:space="9" w:color="595959"/>
      </w:pBdr>
      <w:tabs>
        <w:tab w:val="center" w:pos="4513"/>
        <w:tab w:val="right" w:pos="9026"/>
      </w:tabs>
      <w:spacing w:after="0"/>
    </w:pPr>
    <w:rPr>
      <w:szCs w:val="20"/>
      <w:lang w:val="x-none" w:eastAsia="x-none"/>
    </w:rPr>
  </w:style>
  <w:style w:type="character" w:customStyle="1" w:styleId="FooterChar">
    <w:name w:val="Footer Char"/>
    <w:basedOn w:val="DefaultParagraphFont"/>
    <w:link w:val="Footer"/>
    <w:uiPriority w:val="99"/>
    <w:rsid w:val="002872B3"/>
    <w:rPr>
      <w:rFonts w:ascii="Calibri" w:eastAsia="Calibri" w:hAnsi="Calibri" w:cs="Times New Roman"/>
      <w:sz w:val="24"/>
      <w:szCs w:val="20"/>
      <w:lang w:val="x-none" w:eastAsia="x-none"/>
    </w:rPr>
  </w:style>
  <w:style w:type="character" w:styleId="Hyperlink">
    <w:name w:val="Hyperlink"/>
    <w:uiPriority w:val="99"/>
    <w:unhideWhenUsed/>
    <w:rsid w:val="002872B3"/>
    <w:rPr>
      <w:color w:val="4A4EC5"/>
      <w:u w:val="single"/>
    </w:rPr>
  </w:style>
  <w:style w:type="paragraph" w:styleId="TOCHeading">
    <w:name w:val="TOC Heading"/>
    <w:basedOn w:val="Heading1"/>
    <w:next w:val="Normal"/>
    <w:uiPriority w:val="39"/>
    <w:semiHidden/>
    <w:unhideWhenUsed/>
    <w:qFormat/>
    <w:rsid w:val="002872B3"/>
    <w:pPr>
      <w:spacing w:line="276" w:lineRule="auto"/>
      <w:outlineLvl w:val="9"/>
    </w:pPr>
    <w:rPr>
      <w:lang w:val="en-US" w:eastAsia="ja-JP"/>
    </w:rPr>
  </w:style>
  <w:style w:type="paragraph" w:styleId="TOC1">
    <w:name w:val="toc 1"/>
    <w:basedOn w:val="Normal"/>
    <w:next w:val="Normal"/>
    <w:autoRedefine/>
    <w:uiPriority w:val="39"/>
    <w:unhideWhenUsed/>
    <w:rsid w:val="002872B3"/>
    <w:pPr>
      <w:spacing w:after="100"/>
    </w:pPr>
  </w:style>
  <w:style w:type="paragraph" w:styleId="ListParagraph">
    <w:name w:val="List Paragraph"/>
    <w:basedOn w:val="Normal"/>
    <w:uiPriority w:val="34"/>
    <w:qFormat/>
    <w:rsid w:val="002872B3"/>
    <w:pPr>
      <w:ind w:left="720"/>
      <w:contextualSpacing/>
    </w:pPr>
  </w:style>
  <w:style w:type="paragraph" w:styleId="TOC2">
    <w:name w:val="toc 2"/>
    <w:basedOn w:val="Normal"/>
    <w:next w:val="Normal"/>
    <w:autoRedefine/>
    <w:uiPriority w:val="39"/>
    <w:unhideWhenUsed/>
    <w:rsid w:val="008A0473"/>
    <w:pPr>
      <w:tabs>
        <w:tab w:val="right" w:leader="dot" w:pos="9016"/>
      </w:tabs>
      <w:spacing w:after="100"/>
      <w:ind w:left="720"/>
    </w:pPr>
  </w:style>
  <w:style w:type="paragraph" w:styleId="TOC3">
    <w:name w:val="toc 3"/>
    <w:basedOn w:val="Normal"/>
    <w:next w:val="Normal"/>
    <w:autoRedefine/>
    <w:uiPriority w:val="39"/>
    <w:unhideWhenUsed/>
    <w:rsid w:val="002872B3"/>
    <w:pPr>
      <w:spacing w:after="100"/>
      <w:ind w:left="480"/>
    </w:pPr>
  </w:style>
  <w:style w:type="table" w:styleId="TableGrid">
    <w:name w:val="Table Grid"/>
    <w:basedOn w:val="TableNormal"/>
    <w:uiPriority w:val="39"/>
    <w:rsid w:val="0027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254"/>
    <w:rPr>
      <w:sz w:val="16"/>
      <w:szCs w:val="16"/>
    </w:rPr>
  </w:style>
  <w:style w:type="paragraph" w:styleId="CommentText">
    <w:name w:val="annotation text"/>
    <w:basedOn w:val="Normal"/>
    <w:link w:val="CommentTextChar"/>
    <w:uiPriority w:val="99"/>
    <w:semiHidden/>
    <w:unhideWhenUsed/>
    <w:rsid w:val="00882254"/>
    <w:rPr>
      <w:sz w:val="20"/>
      <w:szCs w:val="20"/>
    </w:rPr>
  </w:style>
  <w:style w:type="character" w:customStyle="1" w:styleId="CommentTextChar">
    <w:name w:val="Comment Text Char"/>
    <w:basedOn w:val="DefaultParagraphFont"/>
    <w:link w:val="CommentText"/>
    <w:uiPriority w:val="99"/>
    <w:semiHidden/>
    <w:rsid w:val="008822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2254"/>
    <w:rPr>
      <w:b/>
      <w:bCs/>
    </w:rPr>
  </w:style>
  <w:style w:type="character" w:customStyle="1" w:styleId="CommentSubjectChar">
    <w:name w:val="Comment Subject Char"/>
    <w:basedOn w:val="CommentTextChar"/>
    <w:link w:val="CommentSubject"/>
    <w:uiPriority w:val="99"/>
    <w:semiHidden/>
    <w:rsid w:val="0088225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22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54"/>
    <w:rPr>
      <w:rFonts w:ascii="Segoe UI" w:eastAsia="Calibri" w:hAnsi="Segoe UI" w:cs="Segoe UI"/>
      <w:sz w:val="18"/>
      <w:szCs w:val="18"/>
    </w:rPr>
  </w:style>
  <w:style w:type="paragraph" w:styleId="FootnoteText">
    <w:name w:val="footnote text"/>
    <w:basedOn w:val="Normal"/>
    <w:link w:val="FootnoteTextChar"/>
    <w:rsid w:val="004174A1"/>
    <w:pPr>
      <w:framePr w:hSpace="142" w:vSpace="142" w:wrap="around" w:vAnchor="text" w:hAnchor="text" w:y="1"/>
      <w:spacing w:after="0"/>
    </w:pPr>
    <w:rPr>
      <w:rFonts w:ascii="Arial" w:hAnsi="Arial"/>
      <w:noProof/>
      <w:color w:val="000000"/>
      <w:sz w:val="20"/>
      <w:szCs w:val="20"/>
      <w:lang w:val="en-US" w:eastAsia="de-DE"/>
    </w:rPr>
  </w:style>
  <w:style w:type="character" w:customStyle="1" w:styleId="FootnoteTextChar">
    <w:name w:val="Footnote Text Char"/>
    <w:basedOn w:val="DefaultParagraphFont"/>
    <w:link w:val="FootnoteText"/>
    <w:rsid w:val="004174A1"/>
    <w:rPr>
      <w:rFonts w:ascii="Arial" w:eastAsia="Calibri" w:hAnsi="Arial" w:cs="Times New Roman"/>
      <w:noProof/>
      <w:color w:val="000000"/>
      <w:sz w:val="20"/>
      <w:szCs w:val="20"/>
      <w:lang w:val="en-US" w:eastAsia="de-DE"/>
    </w:rPr>
  </w:style>
  <w:style w:type="paragraph" w:customStyle="1" w:styleId="Absatz">
    <w:name w:val="Absatz"/>
    <w:basedOn w:val="Normal"/>
    <w:qFormat/>
    <w:rsid w:val="004174A1"/>
    <w:pPr>
      <w:spacing w:after="260" w:line="260" w:lineRule="atLeast"/>
      <w:ind w:left="1134"/>
    </w:pPr>
    <w:rPr>
      <w:rFonts w:ascii="Arial" w:hAnsi="Arial"/>
      <w:color w:val="000000"/>
      <w:sz w:val="20"/>
      <w:szCs w:val="20"/>
      <w:lang w:val="en-US" w:eastAsia="de-DE"/>
    </w:rPr>
  </w:style>
  <w:style w:type="character" w:styleId="FootnoteReference">
    <w:name w:val="footnote reference"/>
    <w:basedOn w:val="DefaultParagraphFont"/>
    <w:rsid w:val="004174A1"/>
    <w:rPr>
      <w:vertAlign w:val="superscript"/>
    </w:rPr>
  </w:style>
  <w:style w:type="paragraph" w:customStyle="1" w:styleId="ISREQ">
    <w:name w:val="ISREQ"/>
    <w:basedOn w:val="Absatz"/>
    <w:qFormat/>
    <w:rsid w:val="00544EEB"/>
    <w:pPr>
      <w:ind w:left="3261" w:hanging="2127"/>
    </w:pPr>
  </w:style>
  <w:style w:type="table" w:customStyle="1" w:styleId="GridTable4-Accent11">
    <w:name w:val="Grid Table 4 - Accent 11"/>
    <w:basedOn w:val="TableNormal"/>
    <w:uiPriority w:val="49"/>
    <w:rsid w:val="00D93FB4"/>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99"/>
    <w:unhideWhenUsed/>
    <w:qFormat/>
    <w:rsid w:val="000A5AE5"/>
    <w:pPr>
      <w:spacing w:before="120" w:after="360" w:line="220" w:lineRule="atLeast"/>
      <w:ind w:left="2268" w:hanging="1134"/>
    </w:pPr>
    <w:rPr>
      <w:rFonts w:ascii="Arial" w:eastAsia="Times New Roman" w:hAnsi="Arial" w:cs="Arial"/>
      <w:bCs/>
      <w:noProof/>
      <w:sz w:val="16"/>
      <w:szCs w:val="20"/>
      <w:lang w:val="en-US"/>
    </w:rPr>
  </w:style>
  <w:style w:type="table" w:styleId="LightList-Accent1">
    <w:name w:val="Light List Accent 1"/>
    <w:basedOn w:val="TableNormal"/>
    <w:uiPriority w:val="61"/>
    <w:rsid w:val="000A5AE5"/>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pPr>
      <w:rPr>
        <w:rFonts w:cs="Times New Roman"/>
        <w:b/>
        <w:bCs/>
        <w:color w:val="FFFFFF" w:themeColor="background1"/>
      </w:rPr>
      <w:tblPr/>
      <w:tcPr>
        <w:shd w:val="clear" w:color="auto" w:fill="4472C4" w:themeFill="accent1"/>
      </w:tcPr>
    </w:tblStylePr>
    <w:tblStylePr w:type="lastRow">
      <w:pPr>
        <w:spacing w:before="0" w:after="0"/>
      </w:pPr>
      <w:rPr>
        <w:rFonts w:cs="Times New Roman"/>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rFonts w:cs="Times New Roman"/>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Revision">
    <w:name w:val="Revision"/>
    <w:hidden/>
    <w:uiPriority w:val="99"/>
    <w:semiHidden/>
    <w:rsid w:val="00F847C8"/>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397">
      <w:bodyDiv w:val="1"/>
      <w:marLeft w:val="0"/>
      <w:marRight w:val="0"/>
      <w:marTop w:val="0"/>
      <w:marBottom w:val="0"/>
      <w:divBdr>
        <w:top w:val="none" w:sz="0" w:space="0" w:color="auto"/>
        <w:left w:val="none" w:sz="0" w:space="0" w:color="auto"/>
        <w:bottom w:val="none" w:sz="0" w:space="0" w:color="auto"/>
        <w:right w:val="none" w:sz="0" w:space="0" w:color="auto"/>
      </w:divBdr>
    </w:div>
    <w:div w:id="837575949">
      <w:bodyDiv w:val="1"/>
      <w:marLeft w:val="0"/>
      <w:marRight w:val="0"/>
      <w:marTop w:val="0"/>
      <w:marBottom w:val="0"/>
      <w:divBdr>
        <w:top w:val="none" w:sz="0" w:space="0" w:color="auto"/>
        <w:left w:val="none" w:sz="0" w:space="0" w:color="auto"/>
        <w:bottom w:val="none" w:sz="0" w:space="0" w:color="auto"/>
        <w:right w:val="none" w:sz="0" w:space="0" w:color="auto"/>
      </w:divBdr>
    </w:div>
    <w:div w:id="1127891054">
      <w:bodyDiv w:val="1"/>
      <w:marLeft w:val="0"/>
      <w:marRight w:val="0"/>
      <w:marTop w:val="0"/>
      <w:marBottom w:val="0"/>
      <w:divBdr>
        <w:top w:val="none" w:sz="0" w:space="0" w:color="auto"/>
        <w:left w:val="none" w:sz="0" w:space="0" w:color="auto"/>
        <w:bottom w:val="none" w:sz="0" w:space="0" w:color="auto"/>
        <w:right w:val="none" w:sz="0" w:space="0" w:color="auto"/>
      </w:divBdr>
    </w:div>
    <w:div w:id="20125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C0AF9BAD79E489DC6BD4C64BA566B" ma:contentTypeVersion="5" ma:contentTypeDescription="Create a new document." ma:contentTypeScope="" ma:versionID="06adb1353c544e776c182526f57aafd3">
  <xsd:schema xmlns:xsd="http://www.w3.org/2001/XMLSchema" xmlns:xs="http://www.w3.org/2001/XMLSchema" xmlns:p="http://schemas.microsoft.com/office/2006/metadata/properties" xmlns:ns2="a59f1df9-c368-4090-baac-443ef263e108" xmlns:ns3="58303a96-842c-44c5-be2a-8a4d40b11e6c" targetNamespace="http://schemas.microsoft.com/office/2006/metadata/properties" ma:root="true" ma:fieldsID="957146edcf73d6986da23b9d2153d247" ns2:_="" ns3:_="">
    <xsd:import namespace="a59f1df9-c368-4090-baac-443ef263e108"/>
    <xsd:import namespace="58303a96-842c-44c5-be2a-8a4d40b11e6c"/>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f1df9-c368-4090-baac-443ef263e1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03a96-842c-44c5-be2a-8a4d40b11e6c"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8303a96-842c-44c5-be2a-8a4d40b11e6c" xsi:nil="true"/>
    <SharedWithUsers xmlns="a59f1df9-c368-4090-baac-443ef263e10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499D-091D-4B66-A6C3-635D1715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f1df9-c368-4090-baac-443ef263e108"/>
    <ds:schemaRef ds:uri="58303a96-842c-44c5-be2a-8a4d40b11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D52DD-9DA9-4CDC-87DC-93BD7B29B6A1}">
  <ds:schemaRefs>
    <ds:schemaRef ds:uri="http://schemas.microsoft.com/office/2006/metadata/properties"/>
    <ds:schemaRef ds:uri="http://schemas.microsoft.com/office/infopath/2007/PartnerControls"/>
    <ds:schemaRef ds:uri="58303a96-842c-44c5-be2a-8a4d40b11e6c"/>
    <ds:schemaRef ds:uri="a59f1df9-c368-4090-baac-443ef263e108"/>
  </ds:schemaRefs>
</ds:datastoreItem>
</file>

<file path=customXml/itemProps3.xml><?xml version="1.0" encoding="utf-8"?>
<ds:datastoreItem xmlns:ds="http://schemas.openxmlformats.org/officeDocument/2006/customXml" ds:itemID="{0D39C178-54B2-423B-B1D9-903812119F43}">
  <ds:schemaRefs>
    <ds:schemaRef ds:uri="http://schemas.microsoft.com/sharepoint/v3/contenttype/forms"/>
  </ds:schemaRefs>
</ds:datastoreItem>
</file>

<file path=customXml/itemProps4.xml><?xml version="1.0" encoding="utf-8"?>
<ds:datastoreItem xmlns:ds="http://schemas.openxmlformats.org/officeDocument/2006/customXml" ds:itemID="{D8706C91-FA59-482A-928E-F87853FD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Selby</dc:creator>
  <cp:keywords/>
  <dc:description/>
  <cp:lastModifiedBy>joe ferguson</cp:lastModifiedBy>
  <cp:revision>2</cp:revision>
  <cp:lastPrinted>2018-05-03T15:49:00Z</cp:lastPrinted>
  <dcterms:created xsi:type="dcterms:W3CDTF">2018-12-06T15:41:00Z</dcterms:created>
  <dcterms:modified xsi:type="dcterms:W3CDTF">2018-12-06T15:41:00Z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0x0101003DFC0AF9BAD79E489DC6BD4C64BA566B</vt:lpwstr>
  </property>
  <property fmtid="{D5CDD505-2E9C-101B-9397-08002B2CF9AE}" pid="3" name="Order">
    <vt:r8>317900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